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62FD3" w:rsidRPr="000A35A6" w:rsidRDefault="0053268E" w:rsidP="000A35A6">
      <w:pPr>
        <w:spacing w:line="360" w:lineRule="auto"/>
        <w:jc w:val="center"/>
        <w:rPr>
          <w:sz w:val="24"/>
          <w:szCs w:val="24"/>
        </w:rPr>
      </w:pPr>
      <w:r w:rsidRPr="000A35A6">
        <w:rPr>
          <w:b/>
          <w:bCs/>
          <w:sz w:val="24"/>
          <w:szCs w:val="24"/>
        </w:rPr>
        <w:t>PARADIGMA ILMU DALAM PENDIDIKAN SEJARAH PERADABAN ISLAM</w:t>
      </w:r>
    </w:p>
    <w:p w14:paraId="65505067" w14:textId="77777777" w:rsidR="007F1901" w:rsidRPr="000A35A6" w:rsidRDefault="007F1901" w:rsidP="000A35A6">
      <w:pPr>
        <w:spacing w:line="360" w:lineRule="auto"/>
        <w:jc w:val="center"/>
        <w:rPr>
          <w:b/>
          <w:bCs/>
          <w:sz w:val="24"/>
          <w:szCs w:val="24"/>
        </w:rPr>
      </w:pPr>
    </w:p>
    <w:p w14:paraId="00000003" w14:textId="28053AC3" w:rsidR="00562FD3" w:rsidRPr="000A35A6" w:rsidRDefault="00401D3C" w:rsidP="000A35A6">
      <w:pPr>
        <w:spacing w:line="360" w:lineRule="auto"/>
        <w:jc w:val="center"/>
        <w:rPr>
          <w:b/>
          <w:bCs/>
          <w:sz w:val="24"/>
          <w:szCs w:val="24"/>
        </w:rPr>
      </w:pPr>
      <w:r w:rsidRPr="000A35A6">
        <w:rPr>
          <w:b/>
          <w:bCs/>
          <w:sz w:val="24"/>
          <w:szCs w:val="24"/>
        </w:rPr>
        <w:t>Hartono</w:t>
      </w:r>
    </w:p>
    <w:p w14:paraId="766E8926" w14:textId="671DE940" w:rsidR="002D5FF6" w:rsidRPr="000A35A6" w:rsidRDefault="000B1F81" w:rsidP="000A35A6">
      <w:pPr>
        <w:spacing w:line="360" w:lineRule="auto"/>
        <w:jc w:val="center"/>
        <w:rPr>
          <w:b/>
          <w:bCs/>
          <w:sz w:val="24"/>
          <w:szCs w:val="24"/>
        </w:rPr>
      </w:pPr>
      <w:hyperlink r:id="rId8" w:history="1">
        <w:r w:rsidR="002D5FF6" w:rsidRPr="000A35A6">
          <w:rPr>
            <w:rStyle w:val="Hyperlink"/>
            <w:b/>
            <w:bCs/>
            <w:sz w:val="24"/>
            <w:szCs w:val="24"/>
          </w:rPr>
          <w:t>yudipoday@gmail.com</w:t>
        </w:r>
      </w:hyperlink>
    </w:p>
    <w:p w14:paraId="00000004" w14:textId="77777777" w:rsidR="00562FD3" w:rsidRPr="000A35A6" w:rsidRDefault="0053268E" w:rsidP="000A35A6">
      <w:pPr>
        <w:spacing w:line="360" w:lineRule="auto"/>
        <w:jc w:val="center"/>
        <w:rPr>
          <w:sz w:val="24"/>
          <w:szCs w:val="24"/>
        </w:rPr>
      </w:pPr>
      <w:r w:rsidRPr="000A35A6">
        <w:rPr>
          <w:sz w:val="24"/>
          <w:szCs w:val="24"/>
        </w:rPr>
        <w:t>Institut Agama Islam Wali Songo Situbondo</w:t>
      </w:r>
    </w:p>
    <w:p w14:paraId="6BAC05A8" w14:textId="77777777" w:rsidR="00401D3C" w:rsidRPr="000A35A6" w:rsidRDefault="00401D3C" w:rsidP="000A35A6">
      <w:pPr>
        <w:spacing w:line="360" w:lineRule="auto"/>
        <w:jc w:val="center"/>
        <w:rPr>
          <w:sz w:val="24"/>
          <w:szCs w:val="24"/>
        </w:rPr>
      </w:pPr>
    </w:p>
    <w:p w14:paraId="00000008" w14:textId="6AD9A416" w:rsidR="00562FD3" w:rsidRPr="000A35A6" w:rsidRDefault="0053268E" w:rsidP="000A35A6">
      <w:pPr>
        <w:spacing w:after="0" w:line="360" w:lineRule="auto"/>
        <w:contextualSpacing/>
        <w:rPr>
          <w:sz w:val="24"/>
          <w:szCs w:val="24"/>
        </w:rPr>
      </w:pPr>
      <w:r w:rsidRPr="000A35A6">
        <w:rPr>
          <w:b/>
          <w:bCs/>
          <w:sz w:val="24"/>
          <w:szCs w:val="24"/>
        </w:rPr>
        <w:t>Abstract</w:t>
      </w:r>
    </w:p>
    <w:p w14:paraId="00000009" w14:textId="77777777" w:rsidR="00562FD3" w:rsidRPr="000A35A6" w:rsidRDefault="0053268E" w:rsidP="000A35A6">
      <w:pPr>
        <w:spacing w:after="0" w:line="240" w:lineRule="auto"/>
        <w:contextualSpacing/>
        <w:jc w:val="both"/>
        <w:rPr>
          <w:sz w:val="24"/>
          <w:szCs w:val="24"/>
        </w:rPr>
      </w:pPr>
      <w:r w:rsidRPr="000A35A6">
        <w:rPr>
          <w:sz w:val="24"/>
          <w:szCs w:val="24"/>
        </w:rPr>
        <w:t>This article examines the paradigm of knowledge in Islamic Civilization History education by positioning civilization studies as an approach that goes beyond chronological-descriptive history teaching. The main problem is not a lack of historical facts, but the tendency to treat facts as the final objective of learning, thereby obscuring the relations among epistemology, historical methodology, social dynamics, knowledge production, and civilization building. This qualitative library study applies descriptive-analytical interpretation to epistemological, historical, pedagogical, and civilizational literature. The study argues for an integrative-critical paradigm: revelation and Islamic intellectual tradition provide a value horizon, while historical evidence, source criticism, rational inquiry, social sciences, humanities, and philosophical reflection serve as instruments for understanding historical reality. A civilization-studies approach shifts learning from memorizing dynasties and figures toward analyzing knowledge networks, educational institutions, economy, politics, culture, technology, and intercivilizational relations. History thereby becomes an intellectual laboratory for examining progress, stagnation, transformation, and continuity. Its educational implications include problem-based learning, source criticism, multiperspectival historiography, manuscript and digital literacy, and integration of local history with the wider history of the Muslim world.</w:t>
      </w:r>
    </w:p>
    <w:p w14:paraId="3EEE529D" w14:textId="32637306" w:rsidR="002D5FF6" w:rsidRPr="000A35A6" w:rsidRDefault="0053268E" w:rsidP="000A35A6">
      <w:pPr>
        <w:spacing w:after="0" w:line="360" w:lineRule="auto"/>
        <w:contextualSpacing/>
        <w:jc w:val="both"/>
        <w:rPr>
          <w:b/>
          <w:bCs/>
          <w:i/>
          <w:iCs/>
          <w:sz w:val="24"/>
          <w:szCs w:val="24"/>
        </w:rPr>
      </w:pPr>
      <w:r w:rsidRPr="000A35A6">
        <w:rPr>
          <w:b/>
          <w:bCs/>
          <w:i/>
          <w:iCs/>
          <w:sz w:val="24"/>
          <w:szCs w:val="24"/>
        </w:rPr>
        <w:t>Keywords: paradigm of knowledge; education; Islamic Civilization History; civilization studies; historiography.</w:t>
      </w:r>
    </w:p>
    <w:p w14:paraId="692DAF72" w14:textId="77777777" w:rsidR="002D5FF6" w:rsidRPr="000A35A6" w:rsidRDefault="002D5FF6" w:rsidP="000A35A6">
      <w:pPr>
        <w:spacing w:line="360" w:lineRule="auto"/>
        <w:jc w:val="both"/>
        <w:rPr>
          <w:sz w:val="24"/>
          <w:szCs w:val="24"/>
        </w:rPr>
      </w:pPr>
    </w:p>
    <w:p w14:paraId="0000000C" w14:textId="38C74E10" w:rsidR="00562FD3" w:rsidRPr="000A35A6" w:rsidRDefault="002D5FF6" w:rsidP="000A35A6">
      <w:pPr>
        <w:spacing w:before="100" w:line="360" w:lineRule="auto"/>
        <w:rPr>
          <w:sz w:val="24"/>
          <w:szCs w:val="24"/>
        </w:rPr>
      </w:pPr>
      <w:r w:rsidRPr="000A35A6">
        <w:rPr>
          <w:b/>
          <w:bCs/>
          <w:sz w:val="24"/>
          <w:szCs w:val="24"/>
        </w:rPr>
        <w:t>PENDAHULUAN</w:t>
      </w:r>
    </w:p>
    <w:p w14:paraId="0000000D" w14:textId="77777777" w:rsidR="00562FD3" w:rsidRPr="000A35A6" w:rsidRDefault="0053268E" w:rsidP="000A35A6">
      <w:pPr>
        <w:spacing w:line="360" w:lineRule="auto"/>
        <w:ind w:firstLine="709"/>
        <w:jc w:val="both"/>
        <w:rPr>
          <w:sz w:val="24"/>
          <w:szCs w:val="24"/>
        </w:rPr>
      </w:pPr>
      <w:r w:rsidRPr="000A35A6">
        <w:rPr>
          <w:sz w:val="24"/>
          <w:szCs w:val="24"/>
        </w:rPr>
        <w:t xml:space="preserve">Sejarah Peradaban Islam menempati posisi strategis dalam pendidikan Islam karena mempertemukan dimensi normatif agama dengan pengalaman historis umat. Akan tetapi, pembelajaran SPI sering direduksi menjadi urutan peristiwa, pergantian kekuasaan, nama tokoh, dan tanggal. Pola ini menghasilkan pengetahuan faktual, tetapi belum tentu melahirkan kesadaran historis. Padahal, sejarah peradaban semestinya membantu peserta didik membaca bagaimana gagasan, institusi, ilmu, kekuasaan, ekonomi, budaya, dan agama saling berinteraksi membentuk perubahan sosial. Perbedaan epistemologis antara Studi Islam yang cenderung berurusan dengan teks dan nilai dengan </w:t>
      </w:r>
      <w:r w:rsidRPr="000A35A6">
        <w:rPr>
          <w:sz w:val="24"/>
          <w:szCs w:val="24"/>
        </w:rPr>
        <w:lastRenderedPageBreak/>
        <w:t>SPI yang menekankan realitas historis-empiris telah ditegaskan dalam kajian komparatif mutakhir.</w:t>
      </w:r>
      <w:r w:rsidRPr="000A35A6">
        <w:rPr>
          <w:sz w:val="24"/>
          <w:szCs w:val="24"/>
          <w:vertAlign w:val="superscript"/>
        </w:rPr>
        <w:footnoteReference w:id="1"/>
      </w:r>
    </w:p>
    <w:p w14:paraId="0000000E" w14:textId="77777777" w:rsidR="00562FD3" w:rsidRPr="000A35A6" w:rsidRDefault="0053268E" w:rsidP="000A35A6">
      <w:pPr>
        <w:spacing w:line="360" w:lineRule="auto"/>
        <w:ind w:firstLine="709"/>
        <w:jc w:val="both"/>
        <w:rPr>
          <w:sz w:val="24"/>
          <w:szCs w:val="24"/>
        </w:rPr>
      </w:pPr>
      <w:r w:rsidRPr="000A35A6">
        <w:rPr>
          <w:sz w:val="24"/>
          <w:szCs w:val="24"/>
        </w:rPr>
        <w:t>Masalah paradigma menjadi penting karena cara mendefinisikan ilmu akan menentukan objek, sumber, metode, dan tujuan pembelajaran. Jika SPI dipahami semata sebagai narasi masa lalu, maka tugas pendidikan berhenti pada reproduksi informasi. Jika dipahami sebagai studi peradaban, fakta sejarah menjadi bahan untuk menguji hubungan sebab-akibat, kontinuitas dan perubahan, struktur dan agensi, serta dinamika produksi pengetahuan. Kajian historiografi Islam juga mengingatkan bahwa penulisan sejarah menghadapi problem epistemologi, isi, metodologi, dan bias penafsir sehingga membutuhkan pendekatan yang lebih holistik.</w:t>
      </w:r>
      <w:r w:rsidRPr="000A35A6">
        <w:rPr>
          <w:sz w:val="24"/>
          <w:szCs w:val="24"/>
          <w:vertAlign w:val="superscript"/>
        </w:rPr>
        <w:footnoteReference w:id="2"/>
      </w:r>
    </w:p>
    <w:p w14:paraId="0000000F" w14:textId="77777777" w:rsidR="00562FD3" w:rsidRPr="000A35A6" w:rsidRDefault="0053268E" w:rsidP="000A35A6">
      <w:pPr>
        <w:spacing w:line="360" w:lineRule="auto"/>
        <w:ind w:firstLine="709"/>
        <w:jc w:val="both"/>
        <w:rPr>
          <w:sz w:val="24"/>
          <w:szCs w:val="24"/>
        </w:rPr>
      </w:pPr>
      <w:r w:rsidRPr="000A35A6">
        <w:rPr>
          <w:sz w:val="24"/>
          <w:szCs w:val="24"/>
        </w:rPr>
        <w:t>Dalam konteks pendidikan Islam, persoalan tersebut berkelindan dengan problem dikotomi ilmu. Pemisahan ilmu agama dan ilmu umum membuat sejarah keilmuan Islam kerap dibaca secara parsial, seolah tradisi keagamaan berdiri di luar perkembangan filsafat, kedokteran, astronomi, matematika, ekonomi, dan ilmu sosial. Kajian kontemporer tentang epistemologi pendidikan Islam menekankan kebutuhan integrasi wahyu, akal, dan pengalaman agar pendidikan tidak terjebak pada dualisme keilmuan.</w:t>
      </w:r>
      <w:r w:rsidRPr="000A35A6">
        <w:rPr>
          <w:sz w:val="24"/>
          <w:szCs w:val="24"/>
          <w:vertAlign w:val="superscript"/>
        </w:rPr>
        <w:footnoteReference w:id="3"/>
      </w:r>
    </w:p>
    <w:p w14:paraId="00000011" w14:textId="1C53CAA6" w:rsidR="00562FD3" w:rsidRPr="000A35A6" w:rsidRDefault="0053268E" w:rsidP="000A35A6">
      <w:pPr>
        <w:spacing w:line="360" w:lineRule="auto"/>
        <w:ind w:firstLine="709"/>
        <w:jc w:val="both"/>
        <w:rPr>
          <w:sz w:val="24"/>
          <w:szCs w:val="24"/>
        </w:rPr>
      </w:pPr>
      <w:r w:rsidRPr="000A35A6">
        <w:rPr>
          <w:sz w:val="24"/>
          <w:szCs w:val="24"/>
        </w:rPr>
        <w:t>Atas dasar itu, artikel ini mengajukan pertanyaan: bagaimana paradigma ilmu yang relevan bagi pendidikan SPI</w:t>
      </w:r>
      <w:r w:rsidR="00A41AD7" w:rsidRPr="000A35A6">
        <w:rPr>
          <w:sz w:val="24"/>
          <w:szCs w:val="24"/>
        </w:rPr>
        <w:t>,</w:t>
      </w:r>
      <w:r w:rsidRPr="000A35A6">
        <w:rPr>
          <w:sz w:val="24"/>
          <w:szCs w:val="24"/>
        </w:rPr>
        <w:t xml:space="preserve"> bagaimana pendekatan studi peradaban mengubah objek dan metode pembelajaran; dan apa implikasinya terhadap pembentukan kesadaran historis peserta didik? Tujuannya adalah merumuskan kerangka konseptual yang menghubungkan epistemologi, historiografi, studi peradaban, dan pedagogi.</w:t>
      </w:r>
      <w:r w:rsidR="007F1901" w:rsidRPr="000A35A6">
        <w:rPr>
          <w:sz w:val="24"/>
          <w:szCs w:val="24"/>
        </w:rPr>
        <w:t xml:space="preserve"> </w:t>
      </w:r>
      <w:r w:rsidR="00A41AD7" w:rsidRPr="000A35A6">
        <w:rPr>
          <w:sz w:val="24"/>
          <w:szCs w:val="24"/>
        </w:rPr>
        <w:t>Seorang mukmin  yang  mampu melihat kebesaran dan kekuasaan Allah SWT. pada setiap  makhluk  dan  ciptan-Nya  dalam  artian  mampu  bertafakkur,  maka  ia  akan  merasa selalu dekat  kepada Allah, karena dia telah mancapai puncaknya ma‟rifah.</w:t>
      </w:r>
      <w:r w:rsidR="00A41AD7" w:rsidRPr="000A35A6">
        <w:rPr>
          <w:rStyle w:val="FootnoteReference"/>
          <w:sz w:val="24"/>
          <w:szCs w:val="24"/>
        </w:rPr>
        <w:footnoteReference w:id="4"/>
      </w:r>
    </w:p>
    <w:p w14:paraId="7DE8303C" w14:textId="77777777" w:rsidR="007F1901" w:rsidRPr="000A35A6" w:rsidRDefault="007F1901" w:rsidP="000A35A6">
      <w:pPr>
        <w:spacing w:line="360" w:lineRule="auto"/>
        <w:ind w:firstLine="709"/>
        <w:jc w:val="both"/>
        <w:rPr>
          <w:sz w:val="24"/>
          <w:szCs w:val="24"/>
        </w:rPr>
      </w:pPr>
    </w:p>
    <w:p w14:paraId="57FC3E79" w14:textId="77777777" w:rsidR="00A27562" w:rsidRPr="000A35A6" w:rsidRDefault="00A27562" w:rsidP="000A35A6">
      <w:pPr>
        <w:spacing w:line="360" w:lineRule="auto"/>
        <w:ind w:firstLine="709"/>
        <w:jc w:val="both"/>
        <w:rPr>
          <w:sz w:val="24"/>
          <w:szCs w:val="24"/>
        </w:rPr>
      </w:pPr>
    </w:p>
    <w:p w14:paraId="00000012" w14:textId="77777777" w:rsidR="00562FD3" w:rsidRPr="000A35A6" w:rsidRDefault="0053268E" w:rsidP="000A35A6">
      <w:pPr>
        <w:spacing w:before="100" w:line="360" w:lineRule="auto"/>
        <w:rPr>
          <w:sz w:val="24"/>
          <w:szCs w:val="24"/>
        </w:rPr>
      </w:pPr>
      <w:r w:rsidRPr="000A35A6">
        <w:rPr>
          <w:b/>
          <w:bCs/>
          <w:sz w:val="24"/>
          <w:szCs w:val="24"/>
        </w:rPr>
        <w:t>Metode Penelitian</w:t>
      </w:r>
    </w:p>
    <w:p w14:paraId="00000013" w14:textId="77777777" w:rsidR="00562FD3" w:rsidRPr="000A35A6" w:rsidRDefault="0053268E" w:rsidP="000A35A6">
      <w:pPr>
        <w:spacing w:line="360" w:lineRule="auto"/>
        <w:ind w:firstLine="709"/>
        <w:jc w:val="both"/>
        <w:rPr>
          <w:sz w:val="24"/>
          <w:szCs w:val="24"/>
        </w:rPr>
      </w:pPr>
      <w:r w:rsidRPr="000A35A6">
        <w:rPr>
          <w:sz w:val="24"/>
          <w:szCs w:val="24"/>
        </w:rPr>
        <w:t>Penelitian ini menggunakan pendekatan kualitatif dengan jenis studi kepustakaan. Literatur dipilih dari karya mengenai filsafat dan paradigma ilmu, historiografi Islam, sejarah pendidikan Islam, studi peradaban, serta penelitian kontemporer mengenai pembelajaran SPI. Analisis dilakukan secara deskriptif-analitis melalui empat tahap: identifikasi gagasan pokok, klasifikasi berdasarkan dimensi ontologis-epistemologis-aksiologis, perbandingan pendekatan historiografis, dan sintesis implikasi pedagogis. Prosedur ini sejalan dengan penelitian SPI yang menempatkan heuristik, kritik sumber, interpretasi, dan historiografi sebagai perangkat metodologis penting.</w:t>
      </w:r>
      <w:r w:rsidRPr="000A35A6">
        <w:rPr>
          <w:sz w:val="24"/>
          <w:szCs w:val="24"/>
          <w:vertAlign w:val="superscript"/>
        </w:rPr>
        <w:footnoteReference w:id="5"/>
      </w:r>
    </w:p>
    <w:p w14:paraId="00000014" w14:textId="77777777" w:rsidR="00562FD3" w:rsidRPr="000A35A6" w:rsidRDefault="0053268E" w:rsidP="000A35A6">
      <w:pPr>
        <w:spacing w:line="360" w:lineRule="auto"/>
        <w:ind w:firstLine="709"/>
        <w:jc w:val="both"/>
        <w:rPr>
          <w:sz w:val="24"/>
          <w:szCs w:val="24"/>
        </w:rPr>
      </w:pPr>
      <w:r w:rsidRPr="000A35A6">
        <w:rPr>
          <w:sz w:val="24"/>
          <w:szCs w:val="24"/>
        </w:rPr>
        <w:t>Studi ini tidak bermaksud menyusun kronologi sejarah Islam secara menyeluruh. Unit analisisnya adalah cara pengetahuan tentang peradaban dibangun dan digunakan dalam pendidikan. Dengan demikian, sumber historis dibaca bukan hanya untuk mengetahui “apa yang terjadi”, tetapi juga untuk memahami “bagaimana kita mengetahui”, “mengapa suatu interpretasi muncul”, dan “apa makna pendidikan dari pengetahuan tersebut”.</w:t>
      </w:r>
    </w:p>
    <w:p w14:paraId="49491A33" w14:textId="77777777" w:rsidR="00B577F7" w:rsidRPr="000A35A6" w:rsidRDefault="00B577F7" w:rsidP="000A35A6">
      <w:pPr>
        <w:spacing w:before="100" w:line="360" w:lineRule="auto"/>
        <w:rPr>
          <w:b/>
          <w:bCs/>
          <w:sz w:val="24"/>
          <w:szCs w:val="24"/>
        </w:rPr>
      </w:pPr>
    </w:p>
    <w:p w14:paraId="63C7041B" w14:textId="2255BCBD" w:rsidR="00B577F7" w:rsidRPr="000A35A6" w:rsidRDefault="00B577F7" w:rsidP="000A35A6">
      <w:pPr>
        <w:spacing w:before="100" w:line="360" w:lineRule="auto"/>
        <w:rPr>
          <w:b/>
          <w:bCs/>
          <w:sz w:val="24"/>
          <w:szCs w:val="24"/>
        </w:rPr>
      </w:pPr>
      <w:r w:rsidRPr="000A35A6">
        <w:rPr>
          <w:b/>
          <w:bCs/>
          <w:sz w:val="24"/>
          <w:szCs w:val="24"/>
        </w:rPr>
        <w:t>PEMBAHASAN</w:t>
      </w:r>
    </w:p>
    <w:p w14:paraId="00000015" w14:textId="71AD634D"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Paradigma Ilmu</w:t>
      </w:r>
    </w:p>
    <w:p w14:paraId="00000016" w14:textId="77777777" w:rsidR="00562FD3" w:rsidRPr="000A35A6" w:rsidRDefault="0053268E" w:rsidP="000A35A6">
      <w:pPr>
        <w:spacing w:line="360" w:lineRule="auto"/>
        <w:ind w:left="360" w:firstLine="709"/>
        <w:jc w:val="both"/>
        <w:rPr>
          <w:sz w:val="24"/>
          <w:szCs w:val="24"/>
        </w:rPr>
      </w:pPr>
      <w:r w:rsidRPr="000A35A6">
        <w:rPr>
          <w:sz w:val="24"/>
          <w:szCs w:val="24"/>
        </w:rPr>
        <w:t xml:space="preserve">Paradigma ilmu dapat dipahami sebagai kerangka dasar yang mengatur cara suatu komunitas ilmiah menentukan persoalan, bukti, metode, dan standar penjelasan. Dalam filsafat ilmu modern, Thomas Kuhn menunjukkan bahwa praktik ilmu tidak berlangsung dalam ruang hampa, melainkan dibentuk oleh paradigma yang mengarahkan apa yang dianggap sebagai masalah ilmiah dan bagaimana pemecahannya dilakukan. Dalam pendidikan, paradigma menentukan apakah </w:t>
      </w:r>
      <w:r w:rsidRPr="000A35A6">
        <w:rPr>
          <w:sz w:val="24"/>
          <w:szCs w:val="24"/>
        </w:rPr>
        <w:lastRenderedPageBreak/>
        <w:t>pengetahuan dipandang sebagai kumpulan fakta, proses penyelidikan, konstruksi interpretatif, atau sarana transformasi manusia.</w:t>
      </w:r>
      <w:r w:rsidRPr="000A35A6">
        <w:rPr>
          <w:sz w:val="24"/>
          <w:szCs w:val="24"/>
          <w:vertAlign w:val="superscript"/>
        </w:rPr>
        <w:footnoteReference w:id="6"/>
      </w:r>
    </w:p>
    <w:p w14:paraId="00000018" w14:textId="097932AC" w:rsidR="00562FD3" w:rsidRPr="000A35A6" w:rsidRDefault="0053268E" w:rsidP="000A35A6">
      <w:pPr>
        <w:spacing w:line="360" w:lineRule="auto"/>
        <w:ind w:left="360" w:firstLine="709"/>
        <w:jc w:val="both"/>
        <w:rPr>
          <w:sz w:val="24"/>
          <w:szCs w:val="24"/>
        </w:rPr>
      </w:pPr>
      <w:r w:rsidRPr="000A35A6">
        <w:rPr>
          <w:sz w:val="24"/>
          <w:szCs w:val="24"/>
        </w:rPr>
        <w:t>Dalam perspektif Islam, ilmu memiliki dimensi epistemologis sekaligus etis. Pengetahuan tidak berhenti pada penguasaan informasi, tetapi terkait dengan pembentukan manusia beradab dan tanggung jawab penggunaan ilmu. Syed Muhammad Naquib al-Attas menempatkan pendidikan dalam kerangka adab dan pengenalan tempat yang tepat bagi segala sesuatu dalam tatanan wujud dan pengetahuan. Kerangka ini memberi konsekuensi bahwa sejarah peradaban tidak cukup diajarkan sebagai keberhasilan material; ia perlu dinilai pula melalui orientasi nilai, keadilan, dan kualitas manusia yang dihasilkannya.</w:t>
      </w:r>
      <w:r w:rsidRPr="000A35A6">
        <w:rPr>
          <w:sz w:val="24"/>
          <w:szCs w:val="24"/>
          <w:vertAlign w:val="superscript"/>
        </w:rPr>
        <w:footnoteReference w:id="7"/>
      </w:r>
      <w:r w:rsidR="007F1901" w:rsidRPr="000A35A6">
        <w:rPr>
          <w:sz w:val="24"/>
          <w:szCs w:val="24"/>
        </w:rPr>
        <w:t xml:space="preserve"> </w:t>
      </w:r>
    </w:p>
    <w:p w14:paraId="00000019" w14:textId="026F29F9"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Paradigma Integratif-Interkonektif dalam Pendidikan SPI</w:t>
      </w:r>
    </w:p>
    <w:p w14:paraId="0000001A" w14:textId="77777777" w:rsidR="00562FD3" w:rsidRPr="000A35A6" w:rsidRDefault="0053268E" w:rsidP="000A35A6">
      <w:pPr>
        <w:spacing w:line="360" w:lineRule="auto"/>
        <w:ind w:left="360" w:firstLine="709"/>
        <w:jc w:val="both"/>
        <w:rPr>
          <w:sz w:val="24"/>
          <w:szCs w:val="24"/>
        </w:rPr>
      </w:pPr>
      <w:r w:rsidRPr="000A35A6">
        <w:rPr>
          <w:sz w:val="24"/>
          <w:szCs w:val="24"/>
        </w:rPr>
        <w:t>Pendidikan SPI membutuhkan hubungan dialogis antara sumber normatif, bukti empiris, dan refleksi kritis. Paradigma integratif-interkonektif M. Amin Abdullah menawarkan jalan untuk menghindari isolasi ilmu agama dari ilmu sosial, humaniora, dan sains. Kerangka hadārat al-naṣṣ, hadārat al-‘ilm, dan hadārat al-falsafah menempatkan teks, pengetahuan empiris, dan refleksi filosofis sebagai ranah yang saling mengoreksi. Dalam SPI, pendekatan ini memungkinkan teks keagamaan dipahami bersama konteks politik, ekonomi, sosial, budaya, dan intelektual yang melingkupi kehidupan umat.</w:t>
      </w:r>
      <w:r w:rsidRPr="000A35A6">
        <w:rPr>
          <w:sz w:val="24"/>
          <w:szCs w:val="24"/>
          <w:vertAlign w:val="superscript"/>
        </w:rPr>
        <w:footnoteReference w:id="8"/>
      </w:r>
    </w:p>
    <w:p w14:paraId="0000001B" w14:textId="77777777" w:rsidR="00562FD3" w:rsidRPr="000A35A6" w:rsidRDefault="0053268E" w:rsidP="000A35A6">
      <w:pPr>
        <w:spacing w:line="360" w:lineRule="auto"/>
        <w:ind w:left="360" w:firstLine="709"/>
        <w:jc w:val="both"/>
        <w:rPr>
          <w:sz w:val="24"/>
          <w:szCs w:val="24"/>
        </w:rPr>
      </w:pPr>
      <w:r w:rsidRPr="000A35A6">
        <w:rPr>
          <w:sz w:val="24"/>
          <w:szCs w:val="24"/>
        </w:rPr>
        <w:t>Integrasi bukan pencampuran metode tanpa batas. Setiap disiplin tetap memiliki prosedur validasi. Riwayat sejarah memerlukan kritik sumber; fenomena ekonomi memerlukan konsep ekonomi; struktur kekuasaan membutuhkan analisis politik; perubahan budaya dapat dibaca melalui antropologi; sedangkan orientasi nilai membutuhkan refleksi etis. Interkoneksi terjadi ketika hasil berbagai pendekatan dipertemukan untuk menghasilkan gambaran peradaban yang lebih utuh.</w:t>
      </w:r>
    </w:p>
    <w:p w14:paraId="0000001C" w14:textId="77777777" w:rsidR="00562FD3" w:rsidRPr="000A35A6" w:rsidRDefault="0053268E" w:rsidP="000A35A6">
      <w:pPr>
        <w:spacing w:line="360" w:lineRule="auto"/>
        <w:ind w:left="360" w:firstLine="709"/>
        <w:jc w:val="both"/>
        <w:rPr>
          <w:sz w:val="24"/>
          <w:szCs w:val="24"/>
        </w:rPr>
      </w:pPr>
      <w:r w:rsidRPr="000A35A6">
        <w:rPr>
          <w:sz w:val="24"/>
          <w:szCs w:val="24"/>
        </w:rPr>
        <w:lastRenderedPageBreak/>
        <w:t>Rasionalitas epistemik juga penting. Pendidikan yang hanya menekankan “know-what” mudah menghasilkan hafalan, sedangkan “know-how” dan “know-why” mendorong peserta didik memahami proses dan alasan di balik pengetahuan. Kajian mengenai rasionalitas epistemik dalam pendidikan Islam menegaskan kontribusinya bagi budaya ilmiah dan kemampuan memahami keragaman secara kritis. Karena itu, pembelajaran SPI perlu mengajukan pertanyaan kausal dan evaluatif, bukan hanya pertanyaan faktual.</w:t>
      </w:r>
      <w:r w:rsidRPr="000A35A6">
        <w:rPr>
          <w:sz w:val="24"/>
          <w:szCs w:val="24"/>
          <w:vertAlign w:val="superscript"/>
        </w:rPr>
        <w:footnoteReference w:id="9"/>
      </w:r>
    </w:p>
    <w:p w14:paraId="0000001E" w14:textId="0D6C384E" w:rsidR="00562FD3" w:rsidRPr="000A35A6" w:rsidRDefault="0053268E" w:rsidP="000A35A6">
      <w:pPr>
        <w:spacing w:line="360" w:lineRule="auto"/>
        <w:ind w:left="360" w:firstLine="709"/>
        <w:jc w:val="both"/>
        <w:rPr>
          <w:sz w:val="24"/>
          <w:szCs w:val="24"/>
        </w:rPr>
      </w:pPr>
      <w:r w:rsidRPr="000A35A6">
        <w:rPr>
          <w:sz w:val="24"/>
          <w:szCs w:val="24"/>
        </w:rPr>
        <w:t>Paradigma ini juga menolak dikotomi sederhana antara ilmu Islam dan ilmu umum. Sejarah peradaban justru memperlihatkan bahwa kemajuan intelektual Muslim tumbuh melalui interaksi antara wahyu, rasionalitas, penerjemahan, observasi, eksperimen, institusi pendidikan, dan jaringan antarwilayah. Penelitian tentang masa keemasan Islam menekankan pentingnya budaya riset, membaca, penerjemahan, dan kebijakan pendidikan dalam pembentukan peradaban ilmu.</w:t>
      </w:r>
      <w:r w:rsidRPr="000A35A6">
        <w:rPr>
          <w:sz w:val="24"/>
          <w:szCs w:val="24"/>
          <w:vertAlign w:val="superscript"/>
        </w:rPr>
        <w:footnoteReference w:id="10"/>
      </w:r>
      <w:r w:rsidR="007F1901" w:rsidRPr="000A35A6">
        <w:rPr>
          <w:sz w:val="24"/>
          <w:szCs w:val="24"/>
        </w:rPr>
        <w:t xml:space="preserve"> </w:t>
      </w:r>
    </w:p>
    <w:p w14:paraId="4B4E921C" w14:textId="77777777" w:rsidR="007F1901" w:rsidRPr="000A35A6" w:rsidRDefault="007F1901" w:rsidP="000A35A6">
      <w:pPr>
        <w:spacing w:line="360" w:lineRule="auto"/>
        <w:ind w:left="360" w:firstLine="709"/>
        <w:jc w:val="both"/>
        <w:rPr>
          <w:sz w:val="24"/>
          <w:szCs w:val="24"/>
        </w:rPr>
      </w:pPr>
    </w:p>
    <w:p w14:paraId="0000001F" w14:textId="60F57608"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Sejarah Peradaban Islam sebagai Disiplin Historis</w:t>
      </w:r>
    </w:p>
    <w:p w14:paraId="00000020" w14:textId="77777777" w:rsidR="00562FD3" w:rsidRPr="000A35A6" w:rsidRDefault="0053268E" w:rsidP="000A35A6">
      <w:pPr>
        <w:spacing w:line="360" w:lineRule="auto"/>
        <w:ind w:left="360" w:firstLine="709"/>
        <w:jc w:val="both"/>
        <w:rPr>
          <w:sz w:val="24"/>
          <w:szCs w:val="24"/>
        </w:rPr>
      </w:pPr>
      <w:r w:rsidRPr="000A35A6">
        <w:rPr>
          <w:sz w:val="24"/>
          <w:szCs w:val="24"/>
        </w:rPr>
        <w:t>SPI berbeda dari kisah moral tentang masa lalu. Sebagai disiplin historis, ia menuntut prosedur untuk menilai sumber dan membangun argumentasi. Sumber dapat berupa kronik, biografi, dokumen, manuskrip, artefak, arsitektur, inskripsi, tradisi lisan, maupun data material. Keberagaman ini menuntut kemampuan membedakan sumber primer dan sekunder, menguji otentisitas, membaca kepentingan penulis, serta membandingkan kesaksian yang berbeda.</w:t>
      </w:r>
    </w:p>
    <w:p w14:paraId="00000021" w14:textId="77777777" w:rsidR="00562FD3" w:rsidRPr="000A35A6" w:rsidRDefault="0053268E" w:rsidP="000A35A6">
      <w:pPr>
        <w:spacing w:line="360" w:lineRule="auto"/>
        <w:ind w:left="360" w:firstLine="709"/>
        <w:jc w:val="both"/>
        <w:rPr>
          <w:sz w:val="24"/>
          <w:szCs w:val="24"/>
        </w:rPr>
      </w:pPr>
      <w:r w:rsidRPr="000A35A6">
        <w:rPr>
          <w:sz w:val="24"/>
          <w:szCs w:val="24"/>
        </w:rPr>
        <w:t xml:space="preserve">Historiografi Islam klasik memberi warisan besar, tetapi tidak bebas persoalan. Nurul Hak menunjukkan adanya problem epistemologis, isi, dan metodologis dalam historiografi awal maupun pembacaan orientalis, termasuk bias politik dan keterbatasan penggunaan model transmisi tertentu untuk menjelaskan persoalan sejarah. Temuan tersebut penting secara pedagogis: mahasiswa tidak cukup </w:t>
      </w:r>
      <w:r w:rsidRPr="000A35A6">
        <w:rPr>
          <w:sz w:val="24"/>
          <w:szCs w:val="24"/>
        </w:rPr>
        <w:lastRenderedPageBreak/>
        <w:t>membaca kitab sejarah sebagai data transparan, melainkan perlu memahami konteks produksi teks.</w:t>
      </w:r>
      <w:r w:rsidRPr="000A35A6">
        <w:rPr>
          <w:sz w:val="24"/>
          <w:szCs w:val="24"/>
          <w:vertAlign w:val="superscript"/>
        </w:rPr>
        <w:footnoteReference w:id="11"/>
      </w:r>
    </w:p>
    <w:p w14:paraId="00000022" w14:textId="77777777" w:rsidR="00562FD3" w:rsidRPr="000A35A6" w:rsidRDefault="0053268E" w:rsidP="000A35A6">
      <w:pPr>
        <w:spacing w:line="360" w:lineRule="auto"/>
        <w:ind w:left="360" w:firstLine="709"/>
        <w:jc w:val="both"/>
        <w:rPr>
          <w:sz w:val="24"/>
          <w:szCs w:val="24"/>
        </w:rPr>
      </w:pPr>
      <w:r w:rsidRPr="000A35A6">
        <w:rPr>
          <w:sz w:val="24"/>
          <w:szCs w:val="24"/>
        </w:rPr>
        <w:t>Dengan demikian, kebenaran historis dalam pendidikan SPI tidak identik dengan menerima satu narasi tanpa kritik. Objektivitas lebih tepat dipahami sebagai disiplin metodologis: keterbukaan pada bukti, kesediaan menguji klaim, membedakan fakta dan interpretasi, serta menjelaskan dasar argumentasi. Perspektif multipel bukan relativisme tanpa batas, karena setiap interpretasi tetap harus diuji melalui sumber dan koherensi penjelasan.</w:t>
      </w:r>
    </w:p>
    <w:p w14:paraId="00000024" w14:textId="22A0440D" w:rsidR="00562FD3" w:rsidRPr="000A35A6" w:rsidRDefault="0053268E" w:rsidP="000A35A6">
      <w:pPr>
        <w:spacing w:line="360" w:lineRule="auto"/>
        <w:ind w:left="360" w:firstLine="709"/>
        <w:jc w:val="both"/>
        <w:rPr>
          <w:sz w:val="24"/>
          <w:szCs w:val="24"/>
        </w:rPr>
      </w:pPr>
      <w:r w:rsidRPr="000A35A6">
        <w:rPr>
          <w:sz w:val="24"/>
          <w:szCs w:val="24"/>
        </w:rPr>
        <w:t>Pendekatan ini membentuk historical thinking. Peserta didik belajar memahami perubahan dalam waktu, konteks, kausalitas, signifikansi, bukti, dan perspektif. Peter Seixas dan Tom Morton menyebut konsep-konsep tersebut sebagai bagian penting dari berpikir historis yang membuat pembelajaran sejarah bergerak dari konsumsi narasi menuju penyelidikan.</w:t>
      </w:r>
      <w:r w:rsidRPr="000A35A6">
        <w:rPr>
          <w:sz w:val="24"/>
          <w:szCs w:val="24"/>
          <w:vertAlign w:val="superscript"/>
        </w:rPr>
        <w:footnoteReference w:id="12"/>
      </w:r>
      <w:r w:rsidR="007F1901" w:rsidRPr="000A35A6">
        <w:rPr>
          <w:sz w:val="24"/>
          <w:szCs w:val="24"/>
        </w:rPr>
        <w:t xml:space="preserve"> </w:t>
      </w:r>
    </w:p>
    <w:p w14:paraId="6916A4CD" w14:textId="77777777" w:rsidR="003413FF" w:rsidRPr="000A35A6" w:rsidRDefault="003413FF" w:rsidP="000A35A6">
      <w:pPr>
        <w:spacing w:line="360" w:lineRule="auto"/>
        <w:jc w:val="both"/>
        <w:rPr>
          <w:sz w:val="24"/>
          <w:szCs w:val="24"/>
        </w:rPr>
      </w:pPr>
    </w:p>
    <w:p w14:paraId="00000025" w14:textId="3CB99829"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Pendekatan Studi Peradaban</w:t>
      </w:r>
    </w:p>
    <w:p w14:paraId="00000026" w14:textId="43E8BDFB" w:rsidR="00562FD3" w:rsidRPr="000A35A6" w:rsidRDefault="0053268E" w:rsidP="000A35A6">
      <w:pPr>
        <w:spacing w:line="360" w:lineRule="auto"/>
        <w:ind w:left="360" w:firstLine="709"/>
        <w:jc w:val="both"/>
        <w:rPr>
          <w:sz w:val="24"/>
          <w:szCs w:val="24"/>
        </w:rPr>
      </w:pPr>
      <w:r w:rsidRPr="000A35A6">
        <w:rPr>
          <w:sz w:val="24"/>
          <w:szCs w:val="24"/>
        </w:rPr>
        <w:t>Istilah peradaban mengarahkan analisis pada totalitas kehidupan manusia yang relatif kompleks: sistem nilai, institusi, ilmu, teknologi, ekonomi, politik, seni, tata kota, pendidikan, dan hubungan sosial. Pendekatan studi peradaban karena itu tidak menjadikan dinasti sebagai satu-satunya kerangka periodisasi. Kekuasaan politik penting, tetapi ia ditempatkan sebagai salah satu variabel dalam jaringan perubahan yang lebih luas.</w:t>
      </w:r>
      <w:r w:rsidR="007D11FD" w:rsidRPr="000A35A6">
        <w:rPr>
          <w:sz w:val="24"/>
          <w:szCs w:val="24"/>
        </w:rPr>
        <w:t xml:space="preserve"> Sebagaimana penulosan Al Qur’an yang terus mengamami pennyempurnaan, Kontruksi Penulisan teks Al-Qur‟an sudah dimulai sejak masa Rasulullah SAW sehingga  terus dan mengalami penyempurnaan dari masa ke masa hingga Al Qur‟an mudah  dibaca  seperti  sekarang.</w:t>
      </w:r>
      <w:r w:rsidR="007D11FD" w:rsidRPr="000A35A6">
        <w:rPr>
          <w:rStyle w:val="FootnoteReference"/>
          <w:sz w:val="24"/>
          <w:szCs w:val="24"/>
        </w:rPr>
        <w:footnoteReference w:id="13"/>
      </w:r>
    </w:p>
    <w:p w14:paraId="00000027" w14:textId="77777777" w:rsidR="00562FD3" w:rsidRPr="000A35A6" w:rsidRDefault="0053268E" w:rsidP="000A35A6">
      <w:pPr>
        <w:spacing w:line="360" w:lineRule="auto"/>
        <w:ind w:left="360" w:firstLine="709"/>
        <w:jc w:val="both"/>
        <w:rPr>
          <w:sz w:val="24"/>
          <w:szCs w:val="24"/>
        </w:rPr>
      </w:pPr>
      <w:r w:rsidRPr="000A35A6">
        <w:rPr>
          <w:sz w:val="24"/>
          <w:szCs w:val="24"/>
        </w:rPr>
        <w:t xml:space="preserve">Pendekatan ini membantu menjelaskan bahwa sebuah masa tidak dapat disebut maju hanya karena wilayah kekuasaannya luas. Kemajuan peradaban perlu </w:t>
      </w:r>
      <w:r w:rsidRPr="000A35A6">
        <w:rPr>
          <w:sz w:val="24"/>
          <w:szCs w:val="24"/>
        </w:rPr>
        <w:lastRenderedPageBreak/>
        <w:t>dibaca melalui kapasitas memproduksi ilmu, membangun institusi, mengelola keragaman, mengembangkan ekonomi, menyediakan ruang pendidikan, dan menciptakan warisan budaya. Sebaliknya, kemunduran tidak dapat direduksi menjadi satu sebab moral atau politik. Ia harus dianalisis sebagai konfigurasi faktor internal dan eksternal.</w:t>
      </w:r>
    </w:p>
    <w:p w14:paraId="00000028" w14:textId="77777777" w:rsidR="00562FD3" w:rsidRPr="000A35A6" w:rsidRDefault="0053268E" w:rsidP="000A35A6">
      <w:pPr>
        <w:spacing w:line="360" w:lineRule="auto"/>
        <w:ind w:left="360" w:firstLine="709"/>
        <w:jc w:val="both"/>
        <w:rPr>
          <w:sz w:val="24"/>
          <w:szCs w:val="24"/>
        </w:rPr>
      </w:pPr>
      <w:r w:rsidRPr="000A35A6">
        <w:rPr>
          <w:sz w:val="24"/>
          <w:szCs w:val="24"/>
        </w:rPr>
        <w:t>Marshall Hodgson, melalui kajian luas tentang sejarah masyarakat Islam, memperlihatkan pentingnya membaca sejarah Islam dalam konteks sejarah dunia dan membedakan aspek religius Islam dari keseluruhan produk sosial-budaya masyarakat Muslim. Bagi pendidikan SPI, perspektif ini mencegah penyamaan seluruh praktik masyarakat Muslim dengan ajaran normatif Islam dan membuka ruang analisis yang lebih presisi.</w:t>
      </w:r>
      <w:r w:rsidRPr="000A35A6">
        <w:rPr>
          <w:sz w:val="24"/>
          <w:szCs w:val="24"/>
          <w:vertAlign w:val="superscript"/>
        </w:rPr>
        <w:footnoteReference w:id="14"/>
      </w:r>
    </w:p>
    <w:p w14:paraId="0000002A" w14:textId="0E7B4B2A" w:rsidR="00562FD3" w:rsidRPr="000A35A6" w:rsidRDefault="0053268E" w:rsidP="000A35A6">
      <w:pPr>
        <w:spacing w:line="360" w:lineRule="auto"/>
        <w:ind w:left="360" w:firstLine="709"/>
        <w:jc w:val="both"/>
        <w:rPr>
          <w:sz w:val="24"/>
          <w:szCs w:val="24"/>
        </w:rPr>
      </w:pPr>
      <w:r w:rsidRPr="000A35A6">
        <w:rPr>
          <w:sz w:val="24"/>
          <w:szCs w:val="24"/>
        </w:rPr>
        <w:t>Studi peradaban juga memungkinkan analisis hubungan lintas budaya. Gerakan penerjemahan, perdagangan, diplomasi, migrasi ulama, transmisi teknologi, dan pertukaran intelektual menunjukkan bahwa peradaban berkembang melalui perjumpaan. Pembelajaran yang menutup sejarah Islam dari dunia Bizantium, Persia, India, Afrika, Asia Tenggara, dan Eropa akan kehilangan banyak mekanisme penting pembentukan pengetahuan.</w:t>
      </w:r>
      <w:r w:rsidR="007F1901" w:rsidRPr="000A35A6">
        <w:rPr>
          <w:sz w:val="24"/>
          <w:szCs w:val="24"/>
        </w:rPr>
        <w:t xml:space="preserve"> </w:t>
      </w:r>
    </w:p>
    <w:p w14:paraId="1F76E9DF" w14:textId="77777777" w:rsidR="007F1901" w:rsidRPr="000A35A6" w:rsidRDefault="007F1901" w:rsidP="000A35A6">
      <w:pPr>
        <w:spacing w:line="360" w:lineRule="auto"/>
        <w:ind w:firstLine="709"/>
        <w:jc w:val="both"/>
        <w:rPr>
          <w:sz w:val="24"/>
          <w:szCs w:val="24"/>
        </w:rPr>
      </w:pPr>
    </w:p>
    <w:p w14:paraId="0000002B" w14:textId="7548D587"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Ilmu, Pendidikan, dan Pembentukan Peradaban Islam</w:t>
      </w:r>
    </w:p>
    <w:p w14:paraId="0000002C" w14:textId="77777777" w:rsidR="00562FD3" w:rsidRPr="000A35A6" w:rsidRDefault="0053268E" w:rsidP="000A35A6">
      <w:pPr>
        <w:spacing w:line="360" w:lineRule="auto"/>
        <w:ind w:left="360" w:firstLine="709"/>
        <w:jc w:val="both"/>
        <w:rPr>
          <w:sz w:val="24"/>
          <w:szCs w:val="24"/>
        </w:rPr>
      </w:pPr>
      <w:r w:rsidRPr="000A35A6">
        <w:rPr>
          <w:sz w:val="24"/>
          <w:szCs w:val="24"/>
        </w:rPr>
        <w:t>Hubungan pendidikan dan peradaban bersifat timbal balik. Institusi pendidikan memproduksi manusia, jaringan, dan pengetahuan yang menopang peradaban; pada saat yang sama, kondisi politik dan ekonomi menentukan ruang tumbuh pendidikan. Kajian Fu’adi dan Naim tentang masa keemasan Islam menempatkan kebijakan pendidikan dan budaya ilmiah—riset, penerjemahan, membaca, dan habitus ilmu—sebagai faktor penting pembentukan kemajuan.</w:t>
      </w:r>
      <w:r w:rsidRPr="000A35A6">
        <w:rPr>
          <w:sz w:val="24"/>
          <w:szCs w:val="24"/>
          <w:vertAlign w:val="superscript"/>
        </w:rPr>
        <w:footnoteReference w:id="15"/>
      </w:r>
    </w:p>
    <w:p w14:paraId="0000002D" w14:textId="77777777" w:rsidR="00562FD3" w:rsidRPr="000A35A6" w:rsidRDefault="0053268E" w:rsidP="000A35A6">
      <w:pPr>
        <w:spacing w:line="360" w:lineRule="auto"/>
        <w:ind w:left="360" w:firstLine="709"/>
        <w:jc w:val="both"/>
        <w:rPr>
          <w:sz w:val="24"/>
          <w:szCs w:val="24"/>
        </w:rPr>
      </w:pPr>
      <w:r w:rsidRPr="000A35A6">
        <w:rPr>
          <w:sz w:val="24"/>
          <w:szCs w:val="24"/>
        </w:rPr>
        <w:t xml:space="preserve">Dalam sejarah Islam, masjid, kuttab, madrasah, perpustakaan, observatorium, rumah sakit, dan lingkungan istana pernah menjadi ruang produksi dan transmisi </w:t>
      </w:r>
      <w:r w:rsidRPr="000A35A6">
        <w:rPr>
          <w:sz w:val="24"/>
          <w:szCs w:val="24"/>
        </w:rPr>
        <w:lastRenderedPageBreak/>
        <w:t>pengetahuan. Perkembangan institusi tersebut memperlihatkan bahwa pendidikan bukan aktivitas pinggiran. Penelitian terbaru mengenai evolusi institusi pendidikan Islam juga menekankan keterkaitan masjid, kuttab, Bayt al-Hikmah, madrasah, wakaf, talaqqi, ijazah, observasi, dan eksperimen dalam ekosistem ilmu.</w:t>
      </w:r>
      <w:r w:rsidRPr="000A35A6">
        <w:rPr>
          <w:sz w:val="24"/>
          <w:szCs w:val="24"/>
          <w:vertAlign w:val="superscript"/>
        </w:rPr>
        <w:footnoteReference w:id="16"/>
      </w:r>
    </w:p>
    <w:p w14:paraId="0000002E" w14:textId="77777777" w:rsidR="00562FD3" w:rsidRPr="000A35A6" w:rsidRDefault="0053268E" w:rsidP="000A35A6">
      <w:pPr>
        <w:spacing w:line="360" w:lineRule="auto"/>
        <w:ind w:left="360" w:firstLine="709"/>
        <w:jc w:val="both"/>
        <w:rPr>
          <w:sz w:val="24"/>
          <w:szCs w:val="24"/>
        </w:rPr>
      </w:pPr>
      <w:r w:rsidRPr="000A35A6">
        <w:rPr>
          <w:sz w:val="24"/>
          <w:szCs w:val="24"/>
        </w:rPr>
        <w:t>Paradigma ilmu dalam SPI perlu menghindari romantisisme. Masa lalu tidak cukup dipuji sebagai golden age; yang lebih penting adalah mengidentifikasi mekanisme yang memungkinkan pengetahuan berkembang. Mengapa penerjemahan memperoleh dukungan? Bagaimana jaringan guru-murid bekerja? Apa peran patronase dan wakaf? Bagaimana perdebatan teologis dan filosofis memengaruhi ilmu? Pertanyaan semacam ini mengubah nostalgia menjadi analisis.</w:t>
      </w:r>
    </w:p>
    <w:p w14:paraId="00000030" w14:textId="2D6ACDE5" w:rsidR="00562FD3" w:rsidRPr="000A35A6" w:rsidRDefault="0053268E" w:rsidP="000A35A6">
      <w:pPr>
        <w:spacing w:line="360" w:lineRule="auto"/>
        <w:ind w:left="360" w:firstLine="709"/>
        <w:jc w:val="both"/>
        <w:rPr>
          <w:sz w:val="24"/>
          <w:szCs w:val="24"/>
        </w:rPr>
      </w:pPr>
      <w:r w:rsidRPr="000A35A6">
        <w:rPr>
          <w:sz w:val="24"/>
          <w:szCs w:val="24"/>
        </w:rPr>
        <w:t>Kajian transformasi pendidikan dalam peradaban Islam menunjukkan bahwa tradisi pendidikan terus berubah dari lembaga klasik menuju sistem modern dan menuntut rekonstruksi epistemologis yang menjaga hubungan antara spiritualitas, ilmu, dan kebutuhan kontemporer. Artinya, sejarah pendidikan dapat menjadi sumber refleksi, tetapi bukan cetak biru yang disalin secara mekanis.</w:t>
      </w:r>
      <w:r w:rsidRPr="000A35A6">
        <w:rPr>
          <w:sz w:val="24"/>
          <w:szCs w:val="24"/>
          <w:vertAlign w:val="superscript"/>
        </w:rPr>
        <w:footnoteReference w:id="17"/>
      </w:r>
    </w:p>
    <w:p w14:paraId="70A6F9FF" w14:textId="77777777" w:rsidR="007F1901" w:rsidRPr="000A35A6" w:rsidRDefault="007F1901" w:rsidP="000A35A6">
      <w:pPr>
        <w:spacing w:line="360" w:lineRule="auto"/>
        <w:ind w:left="360" w:firstLine="709"/>
        <w:jc w:val="both"/>
        <w:rPr>
          <w:sz w:val="24"/>
          <w:szCs w:val="24"/>
        </w:rPr>
      </w:pPr>
    </w:p>
    <w:p w14:paraId="00000031" w14:textId="28C44F14"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Dari Sejarah Politik menuju Sejarah Sosial-Intelektual</w:t>
      </w:r>
    </w:p>
    <w:p w14:paraId="00000032" w14:textId="77777777" w:rsidR="00562FD3" w:rsidRPr="000A35A6" w:rsidRDefault="0053268E" w:rsidP="000A35A6">
      <w:pPr>
        <w:spacing w:line="360" w:lineRule="auto"/>
        <w:ind w:left="360" w:firstLine="709"/>
        <w:jc w:val="both"/>
        <w:rPr>
          <w:sz w:val="24"/>
          <w:szCs w:val="24"/>
        </w:rPr>
      </w:pPr>
      <w:r w:rsidRPr="000A35A6">
        <w:rPr>
          <w:sz w:val="24"/>
          <w:szCs w:val="24"/>
        </w:rPr>
        <w:t>Salah satu konsekuensi pendekatan peradaban adalah perluasan objek kajian. Sejarah politik tetap penting karena negara, konflik, dan kebijakan memengaruhi kehidupan masyarakat. Namun dominasi sejarah politik dapat membuat kontribusi ilmuwan, perempuan, pedagang, pendidik, komunitas lokal, jaringan sufi, pekerja, dan kelompok minoritas kurang terlihat. Pendidikan SPI perlu mengembangkan sejarah sosial, intelektual, ekonomi, budaya, dan lingkungan.</w:t>
      </w:r>
    </w:p>
    <w:p w14:paraId="00000033" w14:textId="77777777" w:rsidR="00562FD3" w:rsidRPr="000A35A6" w:rsidRDefault="0053268E" w:rsidP="000A35A6">
      <w:pPr>
        <w:spacing w:line="360" w:lineRule="auto"/>
        <w:ind w:left="360" w:firstLine="709"/>
        <w:jc w:val="both"/>
        <w:rPr>
          <w:sz w:val="24"/>
          <w:szCs w:val="24"/>
        </w:rPr>
      </w:pPr>
      <w:r w:rsidRPr="000A35A6">
        <w:rPr>
          <w:sz w:val="24"/>
          <w:szCs w:val="24"/>
        </w:rPr>
        <w:t xml:space="preserve">Perluasan tema telah tampak dalam penelitian historiografi di program studi SPI Indonesia. Kajian terhadap skripsi mahasiswa di Sumatera Utara menunjukkan tema yang beragam, antara lain sejarah budaya, arkeologi, biografi, museum, </w:t>
      </w:r>
      <w:r w:rsidRPr="000A35A6">
        <w:rPr>
          <w:sz w:val="24"/>
          <w:szCs w:val="24"/>
        </w:rPr>
        <w:lastRenderedPageBreak/>
        <w:t>arsitektur, pendidikan, politik, intelektual, organisasi, seni, dan demografi. Keragaman ini memperlihatkan potensi SPI sebagai bidang interdisipliner.</w:t>
      </w:r>
      <w:r w:rsidRPr="000A35A6">
        <w:rPr>
          <w:sz w:val="24"/>
          <w:szCs w:val="24"/>
          <w:vertAlign w:val="superscript"/>
        </w:rPr>
        <w:footnoteReference w:id="18"/>
      </w:r>
    </w:p>
    <w:p w14:paraId="00000034" w14:textId="77777777" w:rsidR="00562FD3" w:rsidRPr="000A35A6" w:rsidRDefault="0053268E" w:rsidP="000A35A6">
      <w:pPr>
        <w:spacing w:line="360" w:lineRule="auto"/>
        <w:ind w:left="360" w:firstLine="709"/>
        <w:jc w:val="both"/>
        <w:rPr>
          <w:sz w:val="24"/>
          <w:szCs w:val="24"/>
        </w:rPr>
      </w:pPr>
      <w:r w:rsidRPr="000A35A6">
        <w:rPr>
          <w:sz w:val="24"/>
          <w:szCs w:val="24"/>
        </w:rPr>
        <w:t>Sejarah intelektual secara khusus penting untuk paradigma ilmu. Ia tidak hanya menyusun daftar ilmuwan dan karya, tetapi meneliti pertanyaan apa yang mereka hadapi, konsep apa yang digunakan, siapa audiensnya, bagaimana karya beredar, dan bagaimana institusi mendukung atau membatasi pemikiran. Dengan cara ini, peserta didik melihat ilmu sebagai praktik sosial sekaligus intelektual.</w:t>
      </w:r>
    </w:p>
    <w:p w14:paraId="00000035" w14:textId="77777777" w:rsidR="00562FD3" w:rsidRPr="000A35A6" w:rsidRDefault="0053268E" w:rsidP="000A35A6">
      <w:pPr>
        <w:spacing w:line="360" w:lineRule="auto"/>
        <w:ind w:left="360" w:firstLine="709"/>
        <w:jc w:val="both"/>
        <w:rPr>
          <w:sz w:val="24"/>
          <w:szCs w:val="24"/>
        </w:rPr>
      </w:pPr>
      <w:r w:rsidRPr="000A35A6">
        <w:rPr>
          <w:sz w:val="24"/>
          <w:szCs w:val="24"/>
        </w:rPr>
        <w:t>Sejarah sosial-intelektual juga membantu menghindari heroisme individual. Kemajuan ilmu jarang merupakan hasil satu tokoh. Ia lahir dari ekosistem: guru, murid, penerjemah, penyalin, patron, perpustakaan, pasar buku, lembaga pendidikan, dan jaringan perjalanan. Analisis ekosistem lebih relevan untuk memahami peradaban daripada sekadar menghafal biografi tokoh besar.</w:t>
      </w:r>
    </w:p>
    <w:p w14:paraId="00000036" w14:textId="50D1B26F" w:rsidR="00562FD3" w:rsidRPr="000A35A6" w:rsidRDefault="00562FD3" w:rsidP="000A35A6">
      <w:pPr>
        <w:spacing w:line="360" w:lineRule="auto"/>
        <w:ind w:left="360"/>
        <w:rPr>
          <w:sz w:val="24"/>
          <w:szCs w:val="24"/>
        </w:rPr>
      </w:pPr>
    </w:p>
    <w:p w14:paraId="00000037" w14:textId="0C32C748"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Kritik Sumber dan Historiografi sebagai Kompetensi Pendidikan</w:t>
      </w:r>
    </w:p>
    <w:p w14:paraId="00000038" w14:textId="77777777" w:rsidR="00562FD3" w:rsidRPr="000A35A6" w:rsidRDefault="0053268E" w:rsidP="000A35A6">
      <w:pPr>
        <w:spacing w:line="360" w:lineRule="auto"/>
        <w:ind w:left="360" w:firstLine="709"/>
        <w:jc w:val="both"/>
        <w:rPr>
          <w:sz w:val="24"/>
          <w:szCs w:val="24"/>
        </w:rPr>
      </w:pPr>
      <w:r w:rsidRPr="000A35A6">
        <w:rPr>
          <w:sz w:val="24"/>
          <w:szCs w:val="24"/>
        </w:rPr>
        <w:t>Kritik sumber harus menjadi kompetensi inti dalam pembelajaran SPI. Di era digital, mahasiswa berhadapan dengan potongan informasi sejarah dari media sosial, video, situs populer, dan kecerdasan buatan. Kemudahan akses tidak menjamin reliabilitas. Karena itu, peserta didik perlu belajar memeriksa penulis, waktu penulisan, kedekatan sumber dengan peristiwa, tujuan teks, konsistensi internal, dan konfirmasi eksternal.</w:t>
      </w:r>
    </w:p>
    <w:p w14:paraId="00000039" w14:textId="77777777" w:rsidR="00562FD3" w:rsidRPr="000A35A6" w:rsidRDefault="0053268E" w:rsidP="000A35A6">
      <w:pPr>
        <w:spacing w:line="360" w:lineRule="auto"/>
        <w:ind w:left="360" w:firstLine="709"/>
        <w:jc w:val="both"/>
        <w:rPr>
          <w:sz w:val="24"/>
          <w:szCs w:val="24"/>
        </w:rPr>
      </w:pPr>
      <w:r w:rsidRPr="000A35A6">
        <w:rPr>
          <w:sz w:val="24"/>
          <w:szCs w:val="24"/>
        </w:rPr>
        <w:t>Historiografi memperkenalkan mahasiswa pada kenyataan bahwa sejarah selalu ditulis dari sudut tertentu. Perbedaan antara historiografi Muslim klasik, kolonial-orientalis, nasional, sosial, dan pascakolonial dapat digunakan untuk menunjukkan perubahan pertanyaan dan kategori analisis. Kesadaran historiografis membuat mahasiswa tidak mudah menyamakan narasi dominan dengan masa lalu itu sendiri.</w:t>
      </w:r>
    </w:p>
    <w:p w14:paraId="0000003A" w14:textId="77777777" w:rsidR="00562FD3" w:rsidRPr="000A35A6" w:rsidRDefault="0053268E" w:rsidP="000A35A6">
      <w:pPr>
        <w:spacing w:line="360" w:lineRule="auto"/>
        <w:ind w:left="360" w:firstLine="709"/>
        <w:jc w:val="both"/>
        <w:rPr>
          <w:sz w:val="24"/>
          <w:szCs w:val="24"/>
        </w:rPr>
      </w:pPr>
      <w:r w:rsidRPr="000A35A6">
        <w:rPr>
          <w:sz w:val="24"/>
          <w:szCs w:val="24"/>
        </w:rPr>
        <w:t xml:space="preserve">Dalam konteks ini, rekonstruksi pembelajaran SPI di perguruan tinggi perlu bergerak dari kerangka prosedural-operasional menuju kerangka epistemologis yang </w:t>
      </w:r>
      <w:r w:rsidRPr="000A35A6">
        <w:rPr>
          <w:sz w:val="24"/>
          <w:szCs w:val="24"/>
        </w:rPr>
        <w:lastRenderedPageBreak/>
        <w:t>lebih reflektif. Kajian tentang rekonstruksi pembelajaran SPI menegaskan bahwa epistemologi pembelajaran mencakup sumber, struktur, metode, dan validitas pengetahuan. Keempat unsur ini dapat diterjemahkan menjadi capaian pembelajaran yang konkret.</w:t>
      </w:r>
      <w:r w:rsidRPr="000A35A6">
        <w:rPr>
          <w:sz w:val="24"/>
          <w:szCs w:val="24"/>
          <w:vertAlign w:val="superscript"/>
        </w:rPr>
        <w:footnoteReference w:id="19"/>
      </w:r>
    </w:p>
    <w:p w14:paraId="0000003C" w14:textId="7F3C8A88" w:rsidR="00562FD3" w:rsidRPr="000A35A6" w:rsidRDefault="0053268E" w:rsidP="000A35A6">
      <w:pPr>
        <w:spacing w:line="360" w:lineRule="auto"/>
        <w:ind w:left="360" w:firstLine="709"/>
        <w:jc w:val="both"/>
        <w:rPr>
          <w:sz w:val="24"/>
          <w:szCs w:val="24"/>
        </w:rPr>
      </w:pPr>
      <w:r w:rsidRPr="000A35A6">
        <w:rPr>
          <w:sz w:val="24"/>
          <w:szCs w:val="24"/>
        </w:rPr>
        <w:t>Sebagai contoh, satu topik tentang Baghdad Abbasiyah dapat dimulai dari sumber primer atau representasi artefak, dilanjutkan dengan pertanyaan tentang institusi ilmu, ekonomi kota, patronase, perdebatan intelektual, dan jaringan global. Mahasiswa kemudian membandingkan interpretasi beberapa sejarawan dan menyusun argumentasi berdasarkan bukti. Model ini jauh lebih mendidik daripada sekadar meminta mereka mengingat tahun berdirinya dinasti.</w:t>
      </w:r>
      <w:r w:rsidR="007F1901" w:rsidRPr="000A35A6">
        <w:rPr>
          <w:sz w:val="24"/>
          <w:szCs w:val="24"/>
        </w:rPr>
        <w:t xml:space="preserve"> </w:t>
      </w:r>
    </w:p>
    <w:p w14:paraId="7693C62E" w14:textId="77777777" w:rsidR="007F1901" w:rsidRPr="000A35A6" w:rsidRDefault="007F1901" w:rsidP="000A35A6">
      <w:pPr>
        <w:spacing w:line="360" w:lineRule="auto"/>
        <w:ind w:firstLine="709"/>
        <w:jc w:val="both"/>
        <w:rPr>
          <w:sz w:val="24"/>
          <w:szCs w:val="24"/>
        </w:rPr>
      </w:pPr>
    </w:p>
    <w:p w14:paraId="0000003D" w14:textId="43AAABBB" w:rsidR="00562FD3" w:rsidRPr="000A35A6" w:rsidRDefault="00B577F7" w:rsidP="000A35A6">
      <w:pPr>
        <w:pStyle w:val="ListParagraph"/>
        <w:numPr>
          <w:ilvl w:val="0"/>
          <w:numId w:val="1"/>
        </w:numPr>
        <w:spacing w:before="100" w:line="360" w:lineRule="auto"/>
        <w:ind w:left="360"/>
        <w:rPr>
          <w:sz w:val="24"/>
          <w:szCs w:val="24"/>
        </w:rPr>
      </w:pPr>
      <w:r w:rsidRPr="000A35A6">
        <w:rPr>
          <w:b/>
          <w:bCs/>
          <w:sz w:val="24"/>
          <w:szCs w:val="24"/>
        </w:rPr>
        <w:t>i</w:t>
      </w:r>
      <w:r w:rsidR="0053268E" w:rsidRPr="000A35A6">
        <w:rPr>
          <w:b/>
          <w:bCs/>
          <w:sz w:val="24"/>
          <w:szCs w:val="24"/>
        </w:rPr>
        <w:t>mplikasi Pedagogis Pendekatan Studi Peradaban</w:t>
      </w:r>
    </w:p>
    <w:p w14:paraId="0000003E" w14:textId="77777777" w:rsidR="00562FD3" w:rsidRPr="000A35A6" w:rsidRDefault="0053268E" w:rsidP="000A35A6">
      <w:pPr>
        <w:spacing w:line="360" w:lineRule="auto"/>
        <w:ind w:left="360" w:firstLine="709"/>
        <w:jc w:val="both"/>
        <w:rPr>
          <w:sz w:val="24"/>
          <w:szCs w:val="24"/>
        </w:rPr>
      </w:pPr>
      <w:r w:rsidRPr="000A35A6">
        <w:rPr>
          <w:sz w:val="24"/>
          <w:szCs w:val="24"/>
        </w:rPr>
        <w:t>Paradigma integratif-kritis menuntut perubahan strategi pembelajaran. Pertama, problem-based historical learning: perkuliahan dimulai dengan persoalan peradaban, misalnya mengapa pusat ilmu tumbuh pada wilayah tertentu atau mengapa sebuah institusi bertahan. Kedua, inquiry berbasis sumber: mahasiswa membaca fragmen kronik, peta, gambar arsitektur, manuskrip, statistik, atau dokumen dan menyusun inferensi. Ketiga, perbandingan historiografi: mahasiswa menguji bagaimana peristiwa yang sama dijelaskan oleh penulis berbeda.</w:t>
      </w:r>
    </w:p>
    <w:p w14:paraId="0000003F" w14:textId="77777777" w:rsidR="00562FD3" w:rsidRPr="000A35A6" w:rsidRDefault="0053268E" w:rsidP="000A35A6">
      <w:pPr>
        <w:spacing w:line="360" w:lineRule="auto"/>
        <w:ind w:left="360" w:firstLine="709"/>
        <w:jc w:val="both"/>
        <w:rPr>
          <w:sz w:val="24"/>
          <w:szCs w:val="24"/>
        </w:rPr>
      </w:pPr>
      <w:r w:rsidRPr="000A35A6">
        <w:rPr>
          <w:sz w:val="24"/>
          <w:szCs w:val="24"/>
        </w:rPr>
        <w:t>Keempat, pembelajaran lintas disiplin. Tema wakaf dapat dipertemukan dengan ekonomi dan hukum; kota Islam dengan geografi dan arsitektur; jaringan ulama dengan sosiologi; teknologi dengan sejarah sains; dan manuskrip dengan filologi. Pendekatan ini bukan untuk menjadikan mahasiswa ahli semua disiplin, melainkan melatih kemampuan memilih konsep yang relevan untuk menjelaskan fenomena kompleks.</w:t>
      </w:r>
    </w:p>
    <w:p w14:paraId="00000040" w14:textId="77777777" w:rsidR="00562FD3" w:rsidRPr="000A35A6" w:rsidRDefault="0053268E" w:rsidP="000A35A6">
      <w:pPr>
        <w:spacing w:line="360" w:lineRule="auto"/>
        <w:ind w:left="360" w:firstLine="709"/>
        <w:jc w:val="both"/>
        <w:rPr>
          <w:sz w:val="24"/>
          <w:szCs w:val="24"/>
        </w:rPr>
      </w:pPr>
      <w:r w:rsidRPr="000A35A6">
        <w:rPr>
          <w:sz w:val="24"/>
          <w:szCs w:val="24"/>
        </w:rPr>
        <w:t xml:space="preserve">Kelima, integrasi sejarah lokal. Peradaban Islam tidak hanya berada di Baghdad, Damaskus, Kairo, atau Cordoba. Pesantren, kerajaan Islam Nusantara, jaringan haji, manuskrip lokal, masjid, makam, dan tradisi intelektual Indonesia merupakan bagian dari sejarah Islam global. Penghubungan skala lokal-global </w:t>
      </w:r>
      <w:r w:rsidRPr="000A35A6">
        <w:rPr>
          <w:sz w:val="24"/>
          <w:szCs w:val="24"/>
        </w:rPr>
        <w:lastRenderedPageBreak/>
        <w:t>membuat mahasiswa memahami bahwa peradaban terbentuk melalui jaringan dan adaptasi kontekstual.</w:t>
      </w:r>
    </w:p>
    <w:p w14:paraId="00000041" w14:textId="77777777" w:rsidR="00562FD3" w:rsidRPr="000A35A6" w:rsidRDefault="0053268E" w:rsidP="000A35A6">
      <w:pPr>
        <w:spacing w:line="360" w:lineRule="auto"/>
        <w:ind w:left="360" w:firstLine="709"/>
        <w:jc w:val="both"/>
        <w:rPr>
          <w:sz w:val="24"/>
          <w:szCs w:val="24"/>
        </w:rPr>
      </w:pPr>
      <w:r w:rsidRPr="000A35A6">
        <w:rPr>
          <w:sz w:val="24"/>
          <w:szCs w:val="24"/>
        </w:rPr>
        <w:t>Keenam, pemanfaatan teknologi digital secara kritis. Peta digital, basis data manuskrip, museum virtual, timeline interaktif, dan arsip daring dapat memperluas pengalaman belajar. Namun teknologi harus ditempatkan sebagai instrumen penyelidikan, bukan pengganti kritik sumber. Literasi digital dalam SPI berarti kemampuan menemukan, mengevaluasi, menghubungkan, dan menginterpretasikan bukti.</w:t>
      </w:r>
    </w:p>
    <w:p w14:paraId="00000042" w14:textId="1E26D0BE" w:rsidR="00562FD3" w:rsidRPr="000A35A6" w:rsidRDefault="00562FD3" w:rsidP="000A35A6">
      <w:pPr>
        <w:spacing w:line="360" w:lineRule="auto"/>
        <w:rPr>
          <w:sz w:val="24"/>
          <w:szCs w:val="24"/>
        </w:rPr>
      </w:pPr>
    </w:p>
    <w:p w14:paraId="00000043" w14:textId="7D18B8E0"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Paradigma Ilmu dan Pembentukan Kesadaran Historis</w:t>
      </w:r>
    </w:p>
    <w:p w14:paraId="00000044" w14:textId="77777777" w:rsidR="00562FD3" w:rsidRPr="000A35A6" w:rsidRDefault="0053268E" w:rsidP="000A35A6">
      <w:pPr>
        <w:spacing w:line="360" w:lineRule="auto"/>
        <w:ind w:left="360" w:firstLine="709"/>
        <w:jc w:val="both"/>
        <w:rPr>
          <w:sz w:val="24"/>
          <w:szCs w:val="24"/>
        </w:rPr>
      </w:pPr>
      <w:r w:rsidRPr="000A35A6">
        <w:rPr>
          <w:sz w:val="24"/>
          <w:szCs w:val="24"/>
        </w:rPr>
        <w:t>Tujuan akhir pendidikan SPI bukan menghasilkan peserta didik yang sekadar mengetahui masa lalu, tetapi memiliki kesadaran historis. Kesadaran ini mencakup kemampuan melihat diri dan masyarakat sebagai bagian dari proses waktu, memahami bahwa institusi mengalami perubahan, dan menyadari bahwa pilihan masa kini akan menjadi sejarah masa depan. Sejarah karena itu memiliki fungsi orientatif.</w:t>
      </w:r>
    </w:p>
    <w:p w14:paraId="00000045" w14:textId="77777777" w:rsidR="00562FD3" w:rsidRPr="000A35A6" w:rsidRDefault="0053268E" w:rsidP="000A35A6">
      <w:pPr>
        <w:spacing w:line="360" w:lineRule="auto"/>
        <w:ind w:left="360" w:firstLine="709"/>
        <w:jc w:val="both"/>
        <w:rPr>
          <w:sz w:val="24"/>
          <w:szCs w:val="24"/>
        </w:rPr>
      </w:pPr>
      <w:r w:rsidRPr="000A35A6">
        <w:rPr>
          <w:sz w:val="24"/>
          <w:szCs w:val="24"/>
        </w:rPr>
        <w:t>Kesadaran historis juga membentuk sikap kritis terhadap klaim kejayaan maupun kemunduran. Narasi “Islam pernah berjaya” harus dilanjutkan dengan pertanyaan ilmiah: indikator kejayaan apa, pada wilayah dan kelompok mana, faktor apa yang memungkinkan, dan keterbatasan apa yang tetap ada? Demikian pula narasi kemunduran perlu diuji agar tidak berubah menjadi generalisasi yang menutupi kompleksitas.</w:t>
      </w:r>
    </w:p>
    <w:p w14:paraId="00000046" w14:textId="77777777" w:rsidR="00562FD3" w:rsidRPr="000A35A6" w:rsidRDefault="0053268E" w:rsidP="000A35A6">
      <w:pPr>
        <w:spacing w:line="360" w:lineRule="auto"/>
        <w:ind w:left="360" w:firstLine="709"/>
        <w:jc w:val="both"/>
        <w:rPr>
          <w:sz w:val="24"/>
          <w:szCs w:val="24"/>
        </w:rPr>
      </w:pPr>
      <w:r w:rsidRPr="000A35A6">
        <w:rPr>
          <w:sz w:val="24"/>
          <w:szCs w:val="24"/>
        </w:rPr>
        <w:t>Pendekatan peradaban menghubungkan masa lalu dengan masa kini tanpa melakukan presentisme. Sejarah tidak digunakan untuk memaksa tokoh masa lalu menjawab persoalan kontemporer dengan kategori yang belum ada pada zamannya. Sebaliknya, sejarah menyediakan pola, pengalaman, dan pertanyaan yang dapat memperkaya refleksi masa kini. Inilah perbedaan antara belajar dari sejarah dan menggunakan sejarah secara instrumental.</w:t>
      </w:r>
    </w:p>
    <w:p w14:paraId="00000047" w14:textId="77777777" w:rsidR="00562FD3" w:rsidRPr="000A35A6" w:rsidRDefault="0053268E" w:rsidP="000A35A6">
      <w:pPr>
        <w:spacing w:line="360" w:lineRule="auto"/>
        <w:ind w:left="360" w:firstLine="709"/>
        <w:jc w:val="both"/>
        <w:rPr>
          <w:sz w:val="24"/>
          <w:szCs w:val="24"/>
        </w:rPr>
      </w:pPr>
      <w:r w:rsidRPr="000A35A6">
        <w:rPr>
          <w:sz w:val="24"/>
          <w:szCs w:val="24"/>
        </w:rPr>
        <w:t xml:space="preserve">Pendidikan peradaban juga memiliki dimensi etis. Keberhasilan teknologi tanpa keadilan sosial, ilmu tanpa adab, atau kekuasaan tanpa tanggung jawab tidak dapat disebut kemajuan secara utuh. Kajian historis-epistemologis tentang pendidikan dan peradaban Islam menekankan bahwa pembangunan peradaban berkaitan dengan </w:t>
      </w:r>
      <w:r w:rsidRPr="000A35A6">
        <w:rPr>
          <w:sz w:val="24"/>
          <w:szCs w:val="24"/>
        </w:rPr>
        <w:lastRenderedPageBreak/>
        <w:t>pembentukan individu beradab dan pengembangan ilmu. Dengan demikian, aksiologi ilmu menjadi bagian dari evaluasi sejarah.</w:t>
      </w:r>
      <w:r w:rsidRPr="000A35A6">
        <w:rPr>
          <w:sz w:val="24"/>
          <w:szCs w:val="24"/>
          <w:vertAlign w:val="superscript"/>
        </w:rPr>
        <w:footnoteReference w:id="20"/>
      </w:r>
    </w:p>
    <w:p w14:paraId="00000048" w14:textId="5222D094" w:rsidR="00562FD3" w:rsidRPr="000A35A6" w:rsidRDefault="00562FD3" w:rsidP="000A35A6">
      <w:pPr>
        <w:spacing w:line="360" w:lineRule="auto"/>
        <w:ind w:left="360"/>
        <w:rPr>
          <w:sz w:val="24"/>
          <w:szCs w:val="24"/>
        </w:rPr>
      </w:pPr>
    </w:p>
    <w:p w14:paraId="00000049" w14:textId="1CD07EC1" w:rsidR="00562FD3" w:rsidRPr="000A35A6" w:rsidRDefault="0053268E" w:rsidP="000A35A6">
      <w:pPr>
        <w:pStyle w:val="ListParagraph"/>
        <w:numPr>
          <w:ilvl w:val="0"/>
          <w:numId w:val="1"/>
        </w:numPr>
        <w:spacing w:before="100" w:line="360" w:lineRule="auto"/>
        <w:ind w:left="360"/>
        <w:rPr>
          <w:sz w:val="24"/>
          <w:szCs w:val="24"/>
        </w:rPr>
      </w:pPr>
      <w:r w:rsidRPr="000A35A6">
        <w:rPr>
          <w:b/>
          <w:bCs/>
          <w:sz w:val="24"/>
          <w:szCs w:val="24"/>
        </w:rPr>
        <w:t>Model Paradigma Integratif-Kritis Pendidikan SPI</w:t>
      </w:r>
    </w:p>
    <w:p w14:paraId="0000004A" w14:textId="77777777" w:rsidR="00562FD3" w:rsidRPr="000A35A6" w:rsidRDefault="0053268E" w:rsidP="000A35A6">
      <w:pPr>
        <w:spacing w:line="360" w:lineRule="auto"/>
        <w:ind w:left="360" w:firstLine="709"/>
        <w:jc w:val="both"/>
        <w:rPr>
          <w:sz w:val="24"/>
          <w:szCs w:val="24"/>
        </w:rPr>
      </w:pPr>
      <w:r w:rsidRPr="000A35A6">
        <w:rPr>
          <w:sz w:val="24"/>
          <w:szCs w:val="24"/>
        </w:rPr>
        <w:t>Berdasarkan analisis, paradigma ilmu dalam pendidikan SPI dapat dirumuskan sebagai paradigma integratif-kritis berbasis studi peradaban. Integratif berarti menghubungkan sumber normatif, tradisi intelektual, bukti historis, ilmu sosial-humaniora, dan refleksi filosofis. Kritis berarti setiap klaim sejarah terbuka untuk diuji melalui sumber, konteks, metode, dan argumentasi. Berbasis peradaban berarti unit analisis tidak dibatasi oleh kekuasaan politik, tetapi mencakup ekosistem pengetahuan dan kehidupan sosial.</w:t>
      </w:r>
    </w:p>
    <w:p w14:paraId="0000004B" w14:textId="77777777" w:rsidR="00562FD3" w:rsidRPr="000A35A6" w:rsidRDefault="0053268E" w:rsidP="000A35A6">
      <w:pPr>
        <w:spacing w:line="360" w:lineRule="auto"/>
        <w:ind w:left="360" w:firstLine="709"/>
        <w:jc w:val="both"/>
        <w:rPr>
          <w:sz w:val="24"/>
          <w:szCs w:val="24"/>
        </w:rPr>
      </w:pPr>
      <w:r w:rsidRPr="000A35A6">
        <w:rPr>
          <w:sz w:val="24"/>
          <w:szCs w:val="24"/>
        </w:rPr>
        <w:t>Paradigma tersebut memiliki empat dimensi. Secara ontologis, objek SPI adalah pengalaman historis masyarakat Muslim dan interaksinya dengan dunia. Secara epistemologis, pengetahuan diperoleh melalui bukti, kritik sumber, rasionalitas, tradisi keilmuan, dan dialog antardisiplin. Secara metodologis, penelitian menggunakan heuristik, verifikasi, interpretasi, historiografi, serta perangkat ilmu sosial-humaniora sesuai masalah. Secara aksiologis, pengetahuan sejarah diarahkan pada pembentukan kesadaran, adab ilmiah, dan tanggung jawab peradaban.</w:t>
      </w:r>
    </w:p>
    <w:p w14:paraId="0000004C" w14:textId="77777777" w:rsidR="00562FD3" w:rsidRPr="000A35A6" w:rsidRDefault="0053268E" w:rsidP="000A35A6">
      <w:pPr>
        <w:spacing w:line="360" w:lineRule="auto"/>
        <w:ind w:left="360" w:firstLine="709"/>
        <w:jc w:val="both"/>
        <w:rPr>
          <w:sz w:val="24"/>
          <w:szCs w:val="24"/>
        </w:rPr>
      </w:pPr>
      <w:r w:rsidRPr="000A35A6">
        <w:rPr>
          <w:sz w:val="24"/>
          <w:szCs w:val="24"/>
        </w:rPr>
        <w:t>Paradigma ini juga menjelaskan posisi hubungan Studi Islam dan SPI. Studi Islam memberi horizon normatif dan kajian atas ajaran, sedangkan SPI menguji bagaimana ajaran, interpretasi, dan institusi hadir dalam realitas sejarah. Kajian komparatif terbaru menyimpulkan bahwa perbedaan paradigma keduanya justru dapat dihubungkan secara interdisipliner untuk memahami Islam sebagai ajaran sekaligus realitas peradaban.</w:t>
      </w:r>
      <w:r w:rsidRPr="000A35A6">
        <w:rPr>
          <w:sz w:val="24"/>
          <w:szCs w:val="24"/>
          <w:vertAlign w:val="superscript"/>
        </w:rPr>
        <w:footnoteReference w:id="21"/>
      </w:r>
    </w:p>
    <w:p w14:paraId="0D7BE813" w14:textId="00A30AAB" w:rsidR="007F1901" w:rsidRDefault="007F1901" w:rsidP="000A35A6">
      <w:pPr>
        <w:spacing w:before="100" w:line="360" w:lineRule="auto"/>
        <w:rPr>
          <w:b/>
          <w:bCs/>
          <w:sz w:val="24"/>
          <w:szCs w:val="24"/>
        </w:rPr>
      </w:pPr>
    </w:p>
    <w:p w14:paraId="09DCE0B2" w14:textId="79A4C455" w:rsidR="000A35A6" w:rsidRDefault="000A35A6" w:rsidP="000A35A6">
      <w:pPr>
        <w:spacing w:before="100" w:line="360" w:lineRule="auto"/>
        <w:rPr>
          <w:b/>
          <w:bCs/>
          <w:sz w:val="24"/>
          <w:szCs w:val="24"/>
        </w:rPr>
      </w:pPr>
    </w:p>
    <w:p w14:paraId="410CFB02" w14:textId="77777777" w:rsidR="000A35A6" w:rsidRPr="000A35A6" w:rsidRDefault="000A35A6" w:rsidP="000A35A6">
      <w:pPr>
        <w:spacing w:before="100" w:line="360" w:lineRule="auto"/>
        <w:rPr>
          <w:b/>
          <w:bCs/>
          <w:sz w:val="24"/>
          <w:szCs w:val="24"/>
        </w:rPr>
      </w:pPr>
    </w:p>
    <w:p w14:paraId="0000004D" w14:textId="1CA8A984" w:rsidR="00562FD3" w:rsidRPr="000A35A6" w:rsidRDefault="0053268E" w:rsidP="000A35A6">
      <w:pPr>
        <w:spacing w:before="100" w:line="360" w:lineRule="auto"/>
        <w:rPr>
          <w:sz w:val="24"/>
          <w:szCs w:val="24"/>
        </w:rPr>
      </w:pPr>
      <w:r w:rsidRPr="000A35A6">
        <w:rPr>
          <w:b/>
          <w:bCs/>
          <w:sz w:val="24"/>
          <w:szCs w:val="24"/>
        </w:rPr>
        <w:lastRenderedPageBreak/>
        <w:t>Kesimpulan</w:t>
      </w:r>
    </w:p>
    <w:p w14:paraId="0000004E" w14:textId="77777777" w:rsidR="00562FD3" w:rsidRPr="000A35A6" w:rsidRDefault="0053268E" w:rsidP="000A35A6">
      <w:pPr>
        <w:spacing w:line="360" w:lineRule="auto"/>
        <w:ind w:firstLine="709"/>
        <w:jc w:val="both"/>
        <w:rPr>
          <w:sz w:val="24"/>
          <w:szCs w:val="24"/>
        </w:rPr>
      </w:pPr>
      <w:r w:rsidRPr="000A35A6">
        <w:rPr>
          <w:sz w:val="24"/>
          <w:szCs w:val="24"/>
        </w:rPr>
        <w:t>Paradigma ilmu menentukan kualitas pendidikan Sejarah Peradaban Islam. Pembelajaran yang berhenti pada kronologi menghasilkan pengetahuan faktual, tetapi belum memadai untuk memahami peradaban. Pendekatan studi peradaban menempatkan sejarah sebagai medan analisis terhadap relasi nilai, ilmu, institusi, kekuasaan, ekonomi, budaya, teknologi, dan interaksi lintas masyarakat.</w:t>
      </w:r>
    </w:p>
    <w:p w14:paraId="0000004F" w14:textId="7A238F90" w:rsidR="00562FD3" w:rsidRPr="000A35A6" w:rsidRDefault="00D758BD" w:rsidP="000A35A6">
      <w:pPr>
        <w:spacing w:line="360" w:lineRule="auto"/>
        <w:ind w:firstLine="709"/>
        <w:jc w:val="both"/>
        <w:rPr>
          <w:sz w:val="24"/>
          <w:szCs w:val="24"/>
        </w:rPr>
      </w:pPr>
      <w:r w:rsidRPr="000A35A6">
        <w:rPr>
          <w:sz w:val="24"/>
          <w:szCs w:val="24"/>
        </w:rPr>
        <w:t>P</w:t>
      </w:r>
      <w:r w:rsidR="0053268E" w:rsidRPr="000A35A6">
        <w:rPr>
          <w:sz w:val="24"/>
          <w:szCs w:val="24"/>
        </w:rPr>
        <w:t>aradigma integratif-kritis yang mempertemukan horizon normatif Islam dengan metodologi sejarah, ilmu sosial-humaniora, dan refleksi filosofis. Paradigma tersebut menuntut kritik sumber, historiografi multiperspektif, pembelajaran berbasis masalah, interdisiplin, integrasi sejarah lokal-global, dan literasi digital. Dengan kerangka ini, pendidikan SPI dapat bergerak dari hafalan masa lalu menuju pembentukan kesadaran historis dan kemampuan membaca dinamika peradaban. Sejarah akhirnya tidak hanya menjadi catatan tentang apa yang pernah dicapai umat Islam, tetapi laboratorium ilmu untuk memahami bagaimana peradaban dibangun, mengalami krisis, bertransformasi, dan dapat dikembangkan secara bertanggung jawab.</w:t>
      </w:r>
    </w:p>
    <w:p w14:paraId="521895CF" w14:textId="77777777" w:rsidR="000A35A6" w:rsidRDefault="000A35A6" w:rsidP="000A35A6">
      <w:pPr>
        <w:spacing w:before="100" w:line="360" w:lineRule="auto"/>
        <w:rPr>
          <w:sz w:val="24"/>
          <w:szCs w:val="24"/>
        </w:rPr>
      </w:pPr>
    </w:p>
    <w:p w14:paraId="00000051" w14:textId="2A066334" w:rsidR="00562FD3" w:rsidRPr="000A35A6" w:rsidRDefault="0053268E" w:rsidP="000A35A6">
      <w:pPr>
        <w:spacing w:before="100" w:line="360" w:lineRule="auto"/>
        <w:rPr>
          <w:b/>
          <w:bCs/>
          <w:sz w:val="24"/>
          <w:szCs w:val="24"/>
        </w:rPr>
      </w:pPr>
      <w:r w:rsidRPr="000A35A6">
        <w:rPr>
          <w:b/>
          <w:bCs/>
          <w:sz w:val="24"/>
          <w:szCs w:val="24"/>
        </w:rPr>
        <w:t>Daftar Pustaka</w:t>
      </w:r>
    </w:p>
    <w:p w14:paraId="1DD12B1D" w14:textId="77777777" w:rsidR="0052057B" w:rsidRPr="000A35A6" w:rsidRDefault="0052057B" w:rsidP="000A35A6">
      <w:pPr>
        <w:spacing w:before="100" w:line="360" w:lineRule="auto"/>
        <w:jc w:val="center"/>
        <w:rPr>
          <w:b/>
          <w:bCs/>
          <w:sz w:val="24"/>
          <w:szCs w:val="24"/>
        </w:rPr>
      </w:pPr>
    </w:p>
    <w:p w14:paraId="00000052" w14:textId="1FD2CEC2" w:rsidR="00562FD3" w:rsidRPr="000A35A6" w:rsidRDefault="0053268E" w:rsidP="000A35A6">
      <w:pPr>
        <w:spacing w:after="0" w:line="360" w:lineRule="auto"/>
        <w:contextualSpacing/>
        <w:jc w:val="both"/>
        <w:rPr>
          <w:sz w:val="24"/>
          <w:szCs w:val="24"/>
        </w:rPr>
      </w:pPr>
      <w:r w:rsidRPr="000A35A6">
        <w:rPr>
          <w:sz w:val="24"/>
          <w:szCs w:val="24"/>
        </w:rPr>
        <w:t xml:space="preserve">Aminuddin, Fajrian. “Systematic Literature Review: Analisis Komparatif Paradigma Studi Islam dan Sejarah Peradaban Islam.” Al-Isnad: Journal of Islamic Civilization History and Humanities 7, no. 1 (2026): 1–16. </w:t>
      </w:r>
      <w:hyperlink r:id="rId9" w:history="1">
        <w:r w:rsidR="0052057B" w:rsidRPr="000A35A6">
          <w:rPr>
            <w:rStyle w:val="Hyperlink"/>
            <w:color w:val="auto"/>
            <w:sz w:val="24"/>
            <w:szCs w:val="24"/>
          </w:rPr>
          <w:t>https://doi.org/10.22515/isnad.v7i01.14110</w:t>
        </w:r>
      </w:hyperlink>
      <w:r w:rsidRPr="000A35A6">
        <w:rPr>
          <w:sz w:val="24"/>
          <w:szCs w:val="24"/>
        </w:rPr>
        <w:t>.</w:t>
      </w:r>
    </w:p>
    <w:p w14:paraId="609FD99E" w14:textId="77777777" w:rsidR="0052057B" w:rsidRPr="000A35A6" w:rsidRDefault="0052057B" w:rsidP="000A35A6">
      <w:pPr>
        <w:spacing w:after="0" w:line="360" w:lineRule="auto"/>
        <w:contextualSpacing/>
        <w:jc w:val="both"/>
        <w:rPr>
          <w:sz w:val="24"/>
          <w:szCs w:val="24"/>
        </w:rPr>
      </w:pPr>
    </w:p>
    <w:p w14:paraId="00000053" w14:textId="5832528E" w:rsidR="00562FD3" w:rsidRPr="000A35A6" w:rsidRDefault="0053268E" w:rsidP="000A35A6">
      <w:pPr>
        <w:spacing w:after="0" w:line="360" w:lineRule="auto"/>
        <w:contextualSpacing/>
        <w:jc w:val="both"/>
        <w:rPr>
          <w:sz w:val="24"/>
          <w:szCs w:val="24"/>
        </w:rPr>
      </w:pPr>
      <w:r w:rsidRPr="000A35A6">
        <w:rPr>
          <w:sz w:val="24"/>
          <w:szCs w:val="24"/>
        </w:rPr>
        <w:t xml:space="preserve">Pratama, M. Al Qautsar, dan Toyibafi Sahri Ramadhan. “Pendidikan Islam Multikultural dan Nilainya dalam Pembelajaran Sejarah Peradaban Islam.” Widya Winayata: Jurnal Pendidikan Sejarah 10, no. 2 (2022): 96–106. </w:t>
      </w:r>
      <w:hyperlink r:id="rId10" w:history="1">
        <w:r w:rsidR="0052057B" w:rsidRPr="000A35A6">
          <w:rPr>
            <w:rStyle w:val="Hyperlink"/>
            <w:color w:val="auto"/>
            <w:sz w:val="24"/>
            <w:szCs w:val="24"/>
          </w:rPr>
          <w:t>https://doi.org/10.23887/jjps.v10i2.45704</w:t>
        </w:r>
      </w:hyperlink>
    </w:p>
    <w:p w14:paraId="2BB0DB1C" w14:textId="77777777" w:rsidR="0052057B" w:rsidRPr="000A35A6" w:rsidRDefault="0052057B" w:rsidP="000A35A6">
      <w:pPr>
        <w:spacing w:after="0" w:line="360" w:lineRule="auto"/>
        <w:contextualSpacing/>
        <w:jc w:val="both"/>
        <w:rPr>
          <w:sz w:val="24"/>
          <w:szCs w:val="24"/>
        </w:rPr>
      </w:pPr>
    </w:p>
    <w:p w14:paraId="00000054" w14:textId="6F6C6022" w:rsidR="00562FD3" w:rsidRPr="000A35A6" w:rsidRDefault="0053268E" w:rsidP="000A35A6">
      <w:pPr>
        <w:spacing w:after="0" w:line="360" w:lineRule="auto"/>
        <w:contextualSpacing/>
        <w:jc w:val="both"/>
        <w:rPr>
          <w:sz w:val="24"/>
          <w:szCs w:val="24"/>
        </w:rPr>
      </w:pPr>
      <w:r w:rsidRPr="000A35A6">
        <w:rPr>
          <w:sz w:val="24"/>
          <w:szCs w:val="24"/>
        </w:rPr>
        <w:t>Prasetia, Senata Adi. “Epistemic Rationality in Islamic Education: The Significance for Religious Moderation in Contemporary Indonesian Islam.” Ulul Albab: Jurnal Studi Islam (2022).</w:t>
      </w:r>
    </w:p>
    <w:p w14:paraId="3927BB14" w14:textId="77777777" w:rsidR="0052057B" w:rsidRPr="000A35A6" w:rsidRDefault="0052057B" w:rsidP="000A35A6">
      <w:pPr>
        <w:spacing w:after="0" w:line="360" w:lineRule="auto"/>
        <w:contextualSpacing/>
        <w:jc w:val="both"/>
        <w:rPr>
          <w:sz w:val="24"/>
          <w:szCs w:val="24"/>
        </w:rPr>
      </w:pPr>
    </w:p>
    <w:p w14:paraId="00000055" w14:textId="77777777" w:rsidR="00562FD3" w:rsidRPr="000A35A6" w:rsidRDefault="0053268E" w:rsidP="000A35A6">
      <w:pPr>
        <w:spacing w:after="0" w:line="360" w:lineRule="auto"/>
        <w:contextualSpacing/>
        <w:jc w:val="both"/>
        <w:rPr>
          <w:sz w:val="24"/>
          <w:szCs w:val="24"/>
        </w:rPr>
      </w:pPr>
      <w:r w:rsidRPr="000A35A6">
        <w:rPr>
          <w:sz w:val="24"/>
          <w:szCs w:val="24"/>
        </w:rPr>
        <w:lastRenderedPageBreak/>
        <w:t>Yasmin, Nabila, dan M. Nasihudin Ali. “Islamic Historiography in North Sumatera: Analysis of Trends in Thesis Writing Themes at the History of Islamic Civilization Study Program 2020–2022.” JUSPI: Jurnal Sejarah Peradaban Islam 6, no. 2 (2023).</w:t>
      </w:r>
    </w:p>
    <w:p w14:paraId="023E5D06" w14:textId="77777777" w:rsidR="0052057B" w:rsidRPr="000A35A6" w:rsidRDefault="0052057B" w:rsidP="000A35A6">
      <w:pPr>
        <w:spacing w:after="0" w:line="360" w:lineRule="auto"/>
        <w:contextualSpacing/>
        <w:jc w:val="both"/>
        <w:rPr>
          <w:sz w:val="24"/>
          <w:szCs w:val="24"/>
        </w:rPr>
      </w:pPr>
    </w:p>
    <w:p w14:paraId="00000056" w14:textId="7C5706CD" w:rsidR="00562FD3" w:rsidRPr="000A35A6" w:rsidRDefault="0053268E" w:rsidP="000A35A6">
      <w:pPr>
        <w:spacing w:after="0" w:line="360" w:lineRule="auto"/>
        <w:contextualSpacing/>
        <w:jc w:val="both"/>
        <w:rPr>
          <w:sz w:val="24"/>
          <w:szCs w:val="24"/>
        </w:rPr>
      </w:pPr>
      <w:r w:rsidRPr="000A35A6">
        <w:rPr>
          <w:sz w:val="24"/>
          <w:szCs w:val="24"/>
        </w:rPr>
        <w:t xml:space="preserve">Kartini, Putri Maharini, Raimah, Silva Lestari Hasibuan, Mickael Halomoan Harahap, dan Armila. “Pendekatan Historis dan Pendekatan Filosofis dalam Studi Islam.” Jurnal Ilmiah Multidisiplin 2, no. 3 (2023). </w:t>
      </w:r>
      <w:hyperlink r:id="rId11" w:history="1">
        <w:r w:rsidR="0052057B" w:rsidRPr="000A35A6">
          <w:rPr>
            <w:rStyle w:val="Hyperlink"/>
            <w:color w:val="auto"/>
            <w:sz w:val="24"/>
            <w:szCs w:val="24"/>
          </w:rPr>
          <w:t>https://doi.org/10.56127/jukim.v2i03.739</w:t>
        </w:r>
      </w:hyperlink>
      <w:r w:rsidRPr="000A35A6">
        <w:rPr>
          <w:sz w:val="24"/>
          <w:szCs w:val="24"/>
        </w:rPr>
        <w:t>.</w:t>
      </w:r>
    </w:p>
    <w:p w14:paraId="21C6373A" w14:textId="77777777" w:rsidR="0052057B" w:rsidRPr="000A35A6" w:rsidRDefault="0052057B" w:rsidP="000A35A6">
      <w:pPr>
        <w:spacing w:after="0" w:line="360" w:lineRule="auto"/>
        <w:contextualSpacing/>
        <w:jc w:val="both"/>
        <w:rPr>
          <w:sz w:val="24"/>
          <w:szCs w:val="24"/>
        </w:rPr>
      </w:pPr>
    </w:p>
    <w:p w14:paraId="00000057" w14:textId="77777777" w:rsidR="00562FD3" w:rsidRPr="000A35A6" w:rsidRDefault="0053268E" w:rsidP="000A35A6">
      <w:pPr>
        <w:spacing w:after="0" w:line="360" w:lineRule="auto"/>
        <w:contextualSpacing/>
        <w:jc w:val="both"/>
        <w:rPr>
          <w:sz w:val="24"/>
          <w:szCs w:val="24"/>
        </w:rPr>
      </w:pPr>
      <w:r w:rsidRPr="000A35A6">
        <w:rPr>
          <w:sz w:val="24"/>
          <w:szCs w:val="24"/>
        </w:rPr>
        <w:t>Pirdaus, Topik, dan Uyu Muawanah. “Pendekatan Historis dalam Studi Islam.” JUSMA: Jurnal Studi Islam dan Masyarakat (2024).</w:t>
      </w:r>
    </w:p>
    <w:p w14:paraId="4F2BE2D6" w14:textId="77777777" w:rsidR="0052057B" w:rsidRPr="000A35A6" w:rsidRDefault="0052057B" w:rsidP="000A35A6">
      <w:pPr>
        <w:spacing w:after="0" w:line="360" w:lineRule="auto"/>
        <w:contextualSpacing/>
        <w:jc w:val="both"/>
        <w:rPr>
          <w:sz w:val="24"/>
          <w:szCs w:val="24"/>
        </w:rPr>
      </w:pPr>
    </w:p>
    <w:p w14:paraId="00000058" w14:textId="77777777" w:rsidR="00562FD3" w:rsidRPr="000A35A6" w:rsidRDefault="0053268E" w:rsidP="000A35A6">
      <w:pPr>
        <w:spacing w:after="0" w:line="360" w:lineRule="auto"/>
        <w:contextualSpacing/>
        <w:jc w:val="both"/>
        <w:rPr>
          <w:sz w:val="24"/>
          <w:szCs w:val="24"/>
        </w:rPr>
      </w:pPr>
      <w:r w:rsidRPr="000A35A6">
        <w:rPr>
          <w:sz w:val="24"/>
          <w:szCs w:val="24"/>
        </w:rPr>
        <w:t>Nasim, Moh. “Peran Pendidikan dalam Membangun Peradaban Islam (Telaah Historis-Epistemologis).” PERSPEKTIF: Jurnal Program Studi Pendidikan Islam 17, no. 1 (2024).</w:t>
      </w:r>
    </w:p>
    <w:p w14:paraId="565C6BFE" w14:textId="77777777" w:rsidR="0052057B" w:rsidRPr="000A35A6" w:rsidRDefault="0052057B" w:rsidP="000A35A6">
      <w:pPr>
        <w:spacing w:after="0" w:line="360" w:lineRule="auto"/>
        <w:contextualSpacing/>
        <w:jc w:val="both"/>
        <w:rPr>
          <w:sz w:val="24"/>
          <w:szCs w:val="24"/>
        </w:rPr>
      </w:pPr>
    </w:p>
    <w:p w14:paraId="00000059" w14:textId="099EEAF4" w:rsidR="00562FD3" w:rsidRPr="000A35A6" w:rsidRDefault="0053268E" w:rsidP="000A35A6">
      <w:pPr>
        <w:spacing w:after="0" w:line="360" w:lineRule="auto"/>
        <w:contextualSpacing/>
        <w:jc w:val="both"/>
        <w:rPr>
          <w:sz w:val="24"/>
          <w:szCs w:val="24"/>
        </w:rPr>
      </w:pPr>
      <w:r w:rsidRPr="000A35A6">
        <w:rPr>
          <w:sz w:val="24"/>
          <w:szCs w:val="24"/>
        </w:rPr>
        <w:t xml:space="preserve">MS, Trias Andika. “Pembelajaran Sejarah Peradaban Islam di Perguruan Tinggi: Studi Literatur tentang Metode dan Tantangan.” Jurnal Pendidikan Tambusai 8, no. 2 (2024): 8286–8290. </w:t>
      </w:r>
      <w:hyperlink r:id="rId12" w:history="1">
        <w:r w:rsidR="0052057B" w:rsidRPr="000A35A6">
          <w:rPr>
            <w:rStyle w:val="Hyperlink"/>
            <w:color w:val="auto"/>
            <w:sz w:val="24"/>
            <w:szCs w:val="24"/>
          </w:rPr>
          <w:t>https://doi.org/10.31004/jptam.v8i2.25868</w:t>
        </w:r>
      </w:hyperlink>
      <w:r w:rsidRPr="000A35A6">
        <w:rPr>
          <w:sz w:val="24"/>
          <w:szCs w:val="24"/>
        </w:rPr>
        <w:t>.</w:t>
      </w:r>
    </w:p>
    <w:p w14:paraId="6C5672A0" w14:textId="77777777" w:rsidR="0052057B" w:rsidRPr="000A35A6" w:rsidRDefault="0052057B" w:rsidP="000A35A6">
      <w:pPr>
        <w:spacing w:after="0" w:line="360" w:lineRule="auto"/>
        <w:contextualSpacing/>
        <w:jc w:val="both"/>
        <w:rPr>
          <w:sz w:val="24"/>
          <w:szCs w:val="24"/>
        </w:rPr>
      </w:pPr>
    </w:p>
    <w:p w14:paraId="0000005A" w14:textId="324275E7" w:rsidR="00562FD3" w:rsidRPr="000A35A6" w:rsidRDefault="0053268E" w:rsidP="000A35A6">
      <w:pPr>
        <w:spacing w:after="0" w:line="360" w:lineRule="auto"/>
        <w:contextualSpacing/>
        <w:jc w:val="both"/>
        <w:rPr>
          <w:sz w:val="24"/>
          <w:szCs w:val="24"/>
        </w:rPr>
      </w:pPr>
      <w:r w:rsidRPr="000A35A6">
        <w:rPr>
          <w:sz w:val="24"/>
          <w:szCs w:val="24"/>
        </w:rPr>
        <w:t xml:space="preserve">Darmalinda, dan Fadriati. “Pembelajaran Sejarah Kebudayaan Islam: Analisis Konsepsi, Tujuan, Materi, Strategi, dan Evaluasi Pembelajaran.” Al-Hasanah: Jurnal Pendidikan Agama Islam 9, no. 1 (2024): 92–107. </w:t>
      </w:r>
      <w:hyperlink r:id="rId13" w:history="1">
        <w:r w:rsidR="0052057B" w:rsidRPr="000A35A6">
          <w:rPr>
            <w:rStyle w:val="Hyperlink"/>
            <w:color w:val="auto"/>
            <w:sz w:val="24"/>
            <w:szCs w:val="24"/>
          </w:rPr>
          <w:t>https://doi.org/10.51729/91375</w:t>
        </w:r>
      </w:hyperlink>
      <w:r w:rsidRPr="000A35A6">
        <w:rPr>
          <w:sz w:val="24"/>
          <w:szCs w:val="24"/>
        </w:rPr>
        <w:t>.</w:t>
      </w:r>
    </w:p>
    <w:p w14:paraId="4500C2C4" w14:textId="77777777" w:rsidR="0052057B" w:rsidRPr="000A35A6" w:rsidRDefault="0052057B" w:rsidP="000A35A6">
      <w:pPr>
        <w:spacing w:after="0" w:line="360" w:lineRule="auto"/>
        <w:contextualSpacing/>
        <w:jc w:val="both"/>
        <w:rPr>
          <w:sz w:val="24"/>
          <w:szCs w:val="24"/>
        </w:rPr>
      </w:pPr>
    </w:p>
    <w:p w14:paraId="0000005B" w14:textId="4A71F620" w:rsidR="00562FD3" w:rsidRPr="000A35A6" w:rsidRDefault="0053268E" w:rsidP="000A35A6">
      <w:pPr>
        <w:spacing w:after="0" w:line="360" w:lineRule="auto"/>
        <w:contextualSpacing/>
        <w:jc w:val="both"/>
        <w:rPr>
          <w:sz w:val="24"/>
          <w:szCs w:val="24"/>
        </w:rPr>
      </w:pPr>
      <w:r w:rsidRPr="000A35A6">
        <w:rPr>
          <w:sz w:val="24"/>
          <w:szCs w:val="24"/>
        </w:rPr>
        <w:t xml:space="preserve">Adawiyah, R., L. Hakim, A. Abdurrohman, dan N. S. Muthmainnah. “Manajemen Pendidikan Karakter Melalui Pembelajaran Gamifikasi Disertai Media Video untuk Meningkatkan Pengetahuan Sejarah Peradaban Islam Siswa.” Borneo Journal of Islamic Education 4, no. 2 (2024): 133–145. </w:t>
      </w:r>
      <w:hyperlink r:id="rId14" w:history="1">
        <w:r w:rsidR="0052057B" w:rsidRPr="000A35A6">
          <w:rPr>
            <w:rStyle w:val="Hyperlink"/>
            <w:color w:val="auto"/>
            <w:sz w:val="24"/>
            <w:szCs w:val="24"/>
          </w:rPr>
          <w:t>https://doi.org/10.21093/bjie.v4i2.9162</w:t>
        </w:r>
      </w:hyperlink>
      <w:r w:rsidRPr="000A35A6">
        <w:rPr>
          <w:sz w:val="24"/>
          <w:szCs w:val="24"/>
        </w:rPr>
        <w:t>.</w:t>
      </w:r>
    </w:p>
    <w:p w14:paraId="56D230F8" w14:textId="77777777" w:rsidR="0052057B" w:rsidRPr="000A35A6" w:rsidRDefault="0052057B" w:rsidP="000A35A6">
      <w:pPr>
        <w:spacing w:after="0" w:line="360" w:lineRule="auto"/>
        <w:contextualSpacing/>
        <w:jc w:val="both"/>
        <w:rPr>
          <w:sz w:val="24"/>
          <w:szCs w:val="24"/>
        </w:rPr>
      </w:pPr>
    </w:p>
    <w:p w14:paraId="0000005C" w14:textId="756790B1" w:rsidR="00562FD3" w:rsidRPr="000A35A6" w:rsidRDefault="0053268E" w:rsidP="000A35A6">
      <w:pPr>
        <w:spacing w:after="0" w:line="360" w:lineRule="auto"/>
        <w:contextualSpacing/>
        <w:jc w:val="both"/>
        <w:rPr>
          <w:sz w:val="24"/>
          <w:szCs w:val="24"/>
        </w:rPr>
      </w:pPr>
      <w:r w:rsidRPr="000A35A6">
        <w:rPr>
          <w:sz w:val="24"/>
          <w:szCs w:val="24"/>
        </w:rPr>
        <w:t xml:space="preserve">Rofi, Miftahur. “Dynamics in Classical Islamic Education: Between Nonformal Autonomy and Madrasah Hegemony (650–1250 CE).” Sunan Kalijaga International Journal on Islamic Educational Research 9, no. 1 (2025): 1–24. </w:t>
      </w:r>
      <w:hyperlink r:id="rId15" w:history="1">
        <w:r w:rsidR="0052057B" w:rsidRPr="000A35A6">
          <w:rPr>
            <w:rStyle w:val="Hyperlink"/>
            <w:color w:val="auto"/>
            <w:sz w:val="24"/>
            <w:szCs w:val="24"/>
          </w:rPr>
          <w:t>https://doi.org/10.14421/skijier.2025.91.01</w:t>
        </w:r>
      </w:hyperlink>
      <w:r w:rsidRPr="000A35A6">
        <w:rPr>
          <w:sz w:val="24"/>
          <w:szCs w:val="24"/>
        </w:rPr>
        <w:t>.</w:t>
      </w:r>
    </w:p>
    <w:p w14:paraId="2CC7D8CE" w14:textId="77777777" w:rsidR="0052057B" w:rsidRPr="000A35A6" w:rsidRDefault="0052057B" w:rsidP="000A35A6">
      <w:pPr>
        <w:spacing w:after="0" w:line="360" w:lineRule="auto"/>
        <w:contextualSpacing/>
        <w:jc w:val="both"/>
        <w:rPr>
          <w:sz w:val="24"/>
          <w:szCs w:val="24"/>
        </w:rPr>
      </w:pPr>
    </w:p>
    <w:p w14:paraId="0000005D" w14:textId="2CB31453" w:rsidR="00562FD3" w:rsidRPr="000A35A6" w:rsidRDefault="0053268E" w:rsidP="000A35A6">
      <w:pPr>
        <w:spacing w:after="0" w:line="360" w:lineRule="auto"/>
        <w:contextualSpacing/>
        <w:jc w:val="both"/>
        <w:rPr>
          <w:sz w:val="24"/>
          <w:szCs w:val="24"/>
        </w:rPr>
      </w:pPr>
      <w:r w:rsidRPr="000A35A6">
        <w:rPr>
          <w:sz w:val="24"/>
          <w:szCs w:val="24"/>
        </w:rPr>
        <w:lastRenderedPageBreak/>
        <w:t xml:space="preserve">Lestari, Khusnul Khotimah, Lia Farida, Darna Nengsih, dan Sulfi Ani. “Penerapan Pembelajaran Sejarah Kebudayaan Islam pada Kurikulum Merdeka di MI Muhammadiyah 2 Kabupaten Sorong.” MIDA: Jurnal Pendidikan Dasar Islam 8, no. 2 (2025): 200–212. </w:t>
      </w:r>
      <w:hyperlink r:id="rId16" w:history="1">
        <w:r w:rsidR="0052057B" w:rsidRPr="000A35A6">
          <w:rPr>
            <w:rStyle w:val="Hyperlink"/>
            <w:color w:val="auto"/>
            <w:sz w:val="24"/>
            <w:szCs w:val="24"/>
          </w:rPr>
          <w:t>https://doi.org/10.52166/mida.v8i2.10328</w:t>
        </w:r>
      </w:hyperlink>
      <w:r w:rsidRPr="000A35A6">
        <w:rPr>
          <w:sz w:val="24"/>
          <w:szCs w:val="24"/>
        </w:rPr>
        <w:t>.</w:t>
      </w:r>
    </w:p>
    <w:p w14:paraId="66C12A0F" w14:textId="77777777" w:rsidR="0052057B" w:rsidRPr="000A35A6" w:rsidRDefault="0052057B" w:rsidP="000A35A6">
      <w:pPr>
        <w:spacing w:after="0" w:line="360" w:lineRule="auto"/>
        <w:contextualSpacing/>
        <w:jc w:val="both"/>
        <w:rPr>
          <w:sz w:val="24"/>
          <w:szCs w:val="24"/>
        </w:rPr>
      </w:pPr>
    </w:p>
    <w:p w14:paraId="0000005E" w14:textId="4CEDD484" w:rsidR="00562FD3" w:rsidRPr="000A35A6" w:rsidRDefault="0053268E" w:rsidP="000A35A6">
      <w:pPr>
        <w:spacing w:after="0" w:line="360" w:lineRule="auto"/>
        <w:contextualSpacing/>
        <w:jc w:val="both"/>
        <w:rPr>
          <w:sz w:val="24"/>
          <w:szCs w:val="24"/>
        </w:rPr>
      </w:pPr>
      <w:r w:rsidRPr="000A35A6">
        <w:rPr>
          <w:sz w:val="24"/>
          <w:szCs w:val="24"/>
        </w:rPr>
        <w:t xml:space="preserve">Prawiyog, Anggy Giri, Arga Adha Anwari, Ajid Hakim, dan Haerudin. “Development of Islamic Historiography in Indonesia.” Jurnal Educatio FKIP UNMA 11, no. 3 (2025). </w:t>
      </w:r>
      <w:hyperlink r:id="rId17" w:history="1">
        <w:r w:rsidR="0052057B" w:rsidRPr="000A35A6">
          <w:rPr>
            <w:rStyle w:val="Hyperlink"/>
            <w:color w:val="auto"/>
            <w:sz w:val="24"/>
            <w:szCs w:val="24"/>
          </w:rPr>
          <w:t>https://doi.org/10.31949/educatio.v11i3.13340</w:t>
        </w:r>
      </w:hyperlink>
      <w:r w:rsidRPr="000A35A6">
        <w:rPr>
          <w:sz w:val="24"/>
          <w:szCs w:val="24"/>
        </w:rPr>
        <w:t>.</w:t>
      </w:r>
    </w:p>
    <w:p w14:paraId="6C49D574" w14:textId="77777777" w:rsidR="0052057B" w:rsidRPr="000A35A6" w:rsidRDefault="0052057B" w:rsidP="000A35A6">
      <w:pPr>
        <w:spacing w:after="0" w:line="360" w:lineRule="auto"/>
        <w:contextualSpacing/>
        <w:jc w:val="both"/>
        <w:rPr>
          <w:sz w:val="24"/>
          <w:szCs w:val="24"/>
        </w:rPr>
      </w:pPr>
    </w:p>
    <w:p w14:paraId="0000005F" w14:textId="36296DF4" w:rsidR="00562FD3" w:rsidRPr="000A35A6" w:rsidRDefault="0053268E" w:rsidP="000A35A6">
      <w:pPr>
        <w:spacing w:after="0" w:line="360" w:lineRule="auto"/>
        <w:contextualSpacing/>
        <w:jc w:val="both"/>
        <w:rPr>
          <w:sz w:val="24"/>
          <w:szCs w:val="24"/>
        </w:rPr>
      </w:pPr>
      <w:r w:rsidRPr="000A35A6">
        <w:rPr>
          <w:sz w:val="24"/>
          <w:szCs w:val="24"/>
        </w:rPr>
        <w:t xml:space="preserve">Resky, M., H. N. Saputra, dan Z. Razilu. “Pengembangan Media Pembelajaran Berbasis Android pada Mata Pelajaran Sejarah Kebudayaan Islam.” Jurnal Teknologi Pembelajaran Indonesia 15, no. 2 (2025). </w:t>
      </w:r>
      <w:hyperlink r:id="rId18" w:history="1">
        <w:r w:rsidR="0052057B" w:rsidRPr="000A35A6">
          <w:rPr>
            <w:rStyle w:val="Hyperlink"/>
            <w:color w:val="auto"/>
            <w:sz w:val="24"/>
            <w:szCs w:val="24"/>
          </w:rPr>
          <w:t>https://doi.org/10.23887/jurnal_tp.v15i2.6038</w:t>
        </w:r>
      </w:hyperlink>
      <w:r w:rsidRPr="000A35A6">
        <w:rPr>
          <w:sz w:val="24"/>
          <w:szCs w:val="24"/>
        </w:rPr>
        <w:t>.</w:t>
      </w:r>
    </w:p>
    <w:p w14:paraId="78E2CF1E" w14:textId="77777777" w:rsidR="0052057B" w:rsidRPr="000A35A6" w:rsidRDefault="0052057B" w:rsidP="000A35A6">
      <w:pPr>
        <w:spacing w:after="0" w:line="360" w:lineRule="auto"/>
        <w:contextualSpacing/>
        <w:jc w:val="both"/>
        <w:rPr>
          <w:sz w:val="24"/>
          <w:szCs w:val="24"/>
        </w:rPr>
      </w:pPr>
    </w:p>
    <w:p w14:paraId="00000060" w14:textId="3F843DF6" w:rsidR="00562FD3" w:rsidRPr="000A35A6" w:rsidRDefault="0053268E" w:rsidP="000A35A6">
      <w:pPr>
        <w:spacing w:after="0" w:line="360" w:lineRule="auto"/>
        <w:contextualSpacing/>
        <w:jc w:val="both"/>
        <w:rPr>
          <w:sz w:val="24"/>
          <w:szCs w:val="24"/>
        </w:rPr>
      </w:pPr>
      <w:r w:rsidRPr="000A35A6">
        <w:rPr>
          <w:sz w:val="24"/>
          <w:szCs w:val="24"/>
        </w:rPr>
        <w:t xml:space="preserve">Qadariyah, Lailatul. “Pendekatan Pendidikan dalam Kajian Islam: Dari Dikotomi menuju Dekolonisasi.” At-Tasyrih 12, no. 1 (2026). </w:t>
      </w:r>
      <w:hyperlink r:id="rId19" w:history="1">
        <w:r w:rsidR="0052057B" w:rsidRPr="000A35A6">
          <w:rPr>
            <w:rStyle w:val="Hyperlink"/>
            <w:color w:val="auto"/>
            <w:sz w:val="24"/>
            <w:szCs w:val="24"/>
          </w:rPr>
          <w:t>https://doi.org/10.55849/attasyrih.v12i1.490</w:t>
        </w:r>
      </w:hyperlink>
      <w:r w:rsidRPr="000A35A6">
        <w:rPr>
          <w:sz w:val="24"/>
          <w:szCs w:val="24"/>
        </w:rPr>
        <w:t>.</w:t>
      </w:r>
    </w:p>
    <w:p w14:paraId="2795059F" w14:textId="77777777" w:rsidR="00A41AD7" w:rsidRPr="000A35A6" w:rsidRDefault="00A41AD7" w:rsidP="000A35A6">
      <w:pPr>
        <w:spacing w:after="0" w:line="360" w:lineRule="auto"/>
        <w:contextualSpacing/>
        <w:jc w:val="both"/>
        <w:rPr>
          <w:sz w:val="24"/>
          <w:szCs w:val="24"/>
        </w:rPr>
      </w:pPr>
    </w:p>
    <w:p w14:paraId="3C2473A3" w14:textId="5D750091" w:rsidR="00A41AD7" w:rsidRPr="000A35A6" w:rsidRDefault="00A41AD7" w:rsidP="000A35A6">
      <w:pPr>
        <w:spacing w:after="0" w:line="360" w:lineRule="auto"/>
        <w:contextualSpacing/>
        <w:jc w:val="both"/>
        <w:rPr>
          <w:sz w:val="24"/>
          <w:szCs w:val="24"/>
        </w:rPr>
      </w:pPr>
      <w:r w:rsidRPr="000A35A6">
        <w:rPr>
          <w:sz w:val="24"/>
          <w:szCs w:val="24"/>
        </w:rPr>
        <w:t xml:space="preserve">Hasanah, U., &amp; Hartono, H. (2022). TAFAKKUR SEBAGAI KONSEPSI MENUJU KEABADIAN MANUSIA MODERN:(Telaah Tafsir Surah Ali-Imran Ayat 190-191). </w:t>
      </w:r>
      <w:r w:rsidRPr="000A35A6">
        <w:rPr>
          <w:i/>
          <w:iCs/>
          <w:sz w:val="24"/>
          <w:szCs w:val="24"/>
        </w:rPr>
        <w:t>As-Syifa: Journal of Islamic Studies and History</w:t>
      </w:r>
      <w:r w:rsidRPr="000A35A6">
        <w:rPr>
          <w:sz w:val="24"/>
          <w:szCs w:val="24"/>
        </w:rPr>
        <w:t xml:space="preserve">, </w:t>
      </w:r>
      <w:r w:rsidRPr="000A35A6">
        <w:rPr>
          <w:i/>
          <w:iCs/>
          <w:sz w:val="24"/>
          <w:szCs w:val="24"/>
        </w:rPr>
        <w:t>1</w:t>
      </w:r>
      <w:r w:rsidRPr="000A35A6">
        <w:rPr>
          <w:sz w:val="24"/>
          <w:szCs w:val="24"/>
        </w:rPr>
        <w:t>(1), 01-24.</w:t>
      </w:r>
    </w:p>
    <w:p w14:paraId="02C17F4E" w14:textId="77777777" w:rsidR="00A41AD7" w:rsidRPr="000A35A6" w:rsidRDefault="00A41AD7" w:rsidP="000A35A6">
      <w:pPr>
        <w:spacing w:after="0" w:line="360" w:lineRule="auto"/>
        <w:contextualSpacing/>
        <w:jc w:val="both"/>
        <w:rPr>
          <w:sz w:val="24"/>
          <w:szCs w:val="24"/>
        </w:rPr>
      </w:pPr>
    </w:p>
    <w:p w14:paraId="00000061" w14:textId="5A6228BB" w:rsidR="00562FD3" w:rsidRPr="000A35A6" w:rsidRDefault="0053268E" w:rsidP="000A35A6">
      <w:pPr>
        <w:spacing w:after="0" w:line="360" w:lineRule="auto"/>
        <w:contextualSpacing/>
        <w:jc w:val="both"/>
        <w:rPr>
          <w:sz w:val="24"/>
          <w:szCs w:val="24"/>
        </w:rPr>
      </w:pPr>
      <w:r w:rsidRPr="000A35A6">
        <w:rPr>
          <w:sz w:val="24"/>
          <w:szCs w:val="24"/>
        </w:rPr>
        <w:t xml:space="preserve">Hidayatullah, Naufal, dan Mohammad Subhi Ibrahim. “Integration of Critical Reason in Islamic Civilization: A Solution to the Stagnation of Modern Islamic Education.” International Journal of Graduate of Islamic Education 7, no. 1 (2026). </w:t>
      </w:r>
      <w:hyperlink r:id="rId20" w:history="1">
        <w:r w:rsidR="0052057B" w:rsidRPr="000A35A6">
          <w:rPr>
            <w:rStyle w:val="Hyperlink"/>
            <w:color w:val="auto"/>
            <w:sz w:val="24"/>
            <w:szCs w:val="24"/>
          </w:rPr>
          <w:t>https://doi.org/10.37567/ijgie.v7i1.5102</w:t>
        </w:r>
      </w:hyperlink>
      <w:r w:rsidRPr="000A35A6">
        <w:rPr>
          <w:sz w:val="24"/>
          <w:szCs w:val="24"/>
        </w:rPr>
        <w:t>.</w:t>
      </w:r>
    </w:p>
    <w:p w14:paraId="5B988689" w14:textId="77777777" w:rsidR="007D11FD" w:rsidRPr="000A35A6" w:rsidRDefault="007D11FD" w:rsidP="000A35A6">
      <w:pPr>
        <w:spacing w:after="0" w:line="360" w:lineRule="auto"/>
        <w:contextualSpacing/>
        <w:jc w:val="both"/>
        <w:rPr>
          <w:sz w:val="24"/>
          <w:szCs w:val="24"/>
        </w:rPr>
      </w:pPr>
    </w:p>
    <w:p w14:paraId="500F115C" w14:textId="6D19C791" w:rsidR="007D11FD" w:rsidRPr="000A35A6" w:rsidRDefault="007D11FD" w:rsidP="000A35A6">
      <w:pPr>
        <w:spacing w:after="0" w:line="360" w:lineRule="auto"/>
        <w:contextualSpacing/>
        <w:jc w:val="both"/>
        <w:rPr>
          <w:sz w:val="24"/>
          <w:szCs w:val="24"/>
        </w:rPr>
      </w:pPr>
      <w:r w:rsidRPr="000A35A6">
        <w:rPr>
          <w:sz w:val="24"/>
          <w:szCs w:val="24"/>
        </w:rPr>
        <w:t xml:space="preserve">Hartono, H. (2021). Rekontruksi Penulisan Teks Al-Quran Modern. </w:t>
      </w:r>
      <w:r w:rsidRPr="000A35A6">
        <w:rPr>
          <w:i/>
          <w:iCs/>
          <w:sz w:val="24"/>
          <w:szCs w:val="24"/>
        </w:rPr>
        <w:t>Al-Bayan: Jurnal Ilmu al-Qur'an dan Hadist</w:t>
      </w:r>
      <w:r w:rsidRPr="000A35A6">
        <w:rPr>
          <w:sz w:val="24"/>
          <w:szCs w:val="24"/>
        </w:rPr>
        <w:t xml:space="preserve">, </w:t>
      </w:r>
      <w:r w:rsidRPr="000A35A6">
        <w:rPr>
          <w:i/>
          <w:iCs/>
          <w:sz w:val="24"/>
          <w:szCs w:val="24"/>
        </w:rPr>
        <w:t>4</w:t>
      </w:r>
      <w:r w:rsidRPr="000A35A6">
        <w:rPr>
          <w:sz w:val="24"/>
          <w:szCs w:val="24"/>
        </w:rPr>
        <w:t>(2), 232-243.</w:t>
      </w:r>
    </w:p>
    <w:p w14:paraId="60A0FD9F" w14:textId="77777777" w:rsidR="0052057B" w:rsidRPr="000A35A6" w:rsidRDefault="0052057B" w:rsidP="000A35A6">
      <w:pPr>
        <w:spacing w:after="0" w:line="360" w:lineRule="auto"/>
        <w:contextualSpacing/>
        <w:jc w:val="both"/>
        <w:rPr>
          <w:sz w:val="24"/>
          <w:szCs w:val="24"/>
        </w:rPr>
      </w:pPr>
    </w:p>
    <w:p w14:paraId="00000062" w14:textId="4DCF96C5" w:rsidR="00562FD3" w:rsidRPr="000A35A6" w:rsidRDefault="0053268E" w:rsidP="000A35A6">
      <w:pPr>
        <w:spacing w:after="0" w:line="360" w:lineRule="auto"/>
        <w:contextualSpacing/>
        <w:jc w:val="both"/>
        <w:rPr>
          <w:sz w:val="24"/>
          <w:szCs w:val="24"/>
        </w:rPr>
      </w:pPr>
      <w:r w:rsidRPr="000A35A6">
        <w:rPr>
          <w:sz w:val="24"/>
          <w:szCs w:val="24"/>
        </w:rPr>
        <w:t xml:space="preserve">Sutrisno, Arianto Budi, dan Mardhiya Agustina. “Pengembangan Materi Pembelajaran Sejarah Kebudayaan Islam (SKI) Berbasis Nilai-Nilai Multikultural.” Darussalam 27, no. 1 (2026). </w:t>
      </w:r>
      <w:hyperlink r:id="rId21" w:history="1">
        <w:r w:rsidR="0052057B" w:rsidRPr="000A35A6">
          <w:rPr>
            <w:rStyle w:val="Hyperlink"/>
            <w:color w:val="auto"/>
            <w:sz w:val="24"/>
            <w:szCs w:val="24"/>
          </w:rPr>
          <w:t>https://doi.org/10.58791/drs.v27i01.882</w:t>
        </w:r>
      </w:hyperlink>
      <w:r w:rsidRPr="000A35A6">
        <w:rPr>
          <w:sz w:val="24"/>
          <w:szCs w:val="24"/>
        </w:rPr>
        <w:t>.</w:t>
      </w:r>
    </w:p>
    <w:p w14:paraId="27FE8F94" w14:textId="77777777" w:rsidR="0052057B" w:rsidRPr="000A35A6" w:rsidRDefault="0052057B" w:rsidP="000A35A6">
      <w:pPr>
        <w:spacing w:after="0" w:line="360" w:lineRule="auto"/>
        <w:contextualSpacing/>
        <w:jc w:val="both"/>
        <w:rPr>
          <w:sz w:val="24"/>
          <w:szCs w:val="24"/>
        </w:rPr>
      </w:pPr>
    </w:p>
    <w:sectPr w:rsidR="0052057B" w:rsidRPr="000A35A6" w:rsidSect="002D5FF6">
      <w:headerReference w:type="default" r:id="rId22"/>
      <w:pgSz w:w="11907" w:h="16840" w:code="9"/>
      <w:pgMar w:top="1701" w:right="1701" w:bottom="1701"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45D0D" w14:textId="77777777" w:rsidR="000B1F81" w:rsidRDefault="000B1F81">
      <w:pPr>
        <w:spacing w:after="0" w:line="240" w:lineRule="auto"/>
      </w:pPr>
      <w:r>
        <w:separator/>
      </w:r>
    </w:p>
  </w:endnote>
  <w:endnote w:type="continuationSeparator" w:id="0">
    <w:p w14:paraId="56277565" w14:textId="77777777" w:rsidR="000B1F81" w:rsidRDefault="000B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0B69D2B-E3A9-47E8-AAAA-C81132838FA9}"/>
    <w:embedBold r:id="rId2" w:fontKey="{4070F535-C99F-4229-BCA9-04279F9C43AA}"/>
    <w:embedItalic r:id="rId3" w:fontKey="{C6C51E63-715E-4189-BC40-B5DF12D69CB4}"/>
    <w:embedBoldItalic r:id="rId4" w:fontKey="{8F82C73F-84B9-41BF-B705-D7E08BBD1826}"/>
  </w:font>
  <w:font w:name="Cambria">
    <w:panose1 w:val="02040503050406030204"/>
    <w:charset w:val="00"/>
    <w:family w:val="roman"/>
    <w:pitch w:val="variable"/>
    <w:sig w:usb0="E00006FF" w:usb1="420024FF" w:usb2="02000000" w:usb3="00000000" w:csb0="0000019F" w:csb1="00000000"/>
    <w:embedRegular r:id="rId5" w:fontKey="{C156FBED-3574-4459-8776-2917E1E0E23D}"/>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D4BF8" w14:textId="77777777" w:rsidR="000B1F81" w:rsidRDefault="000B1F81">
      <w:pPr>
        <w:spacing w:after="0" w:line="240" w:lineRule="auto"/>
      </w:pPr>
      <w:r>
        <w:separator/>
      </w:r>
    </w:p>
  </w:footnote>
  <w:footnote w:type="continuationSeparator" w:id="0">
    <w:p w14:paraId="4C9B2135" w14:textId="77777777" w:rsidR="000B1F81" w:rsidRDefault="000B1F81">
      <w:pPr>
        <w:spacing w:after="0" w:line="240" w:lineRule="auto"/>
      </w:pPr>
      <w:r>
        <w:continuationSeparator/>
      </w:r>
    </w:p>
  </w:footnote>
  <w:footnote w:id="1">
    <w:p w14:paraId="00000063" w14:textId="77777777" w:rsidR="00562FD3" w:rsidRDefault="0053268E" w:rsidP="00401D3C">
      <w:pPr>
        <w:spacing w:after="20" w:line="240" w:lineRule="auto"/>
        <w:ind w:left="180" w:hanging="180"/>
        <w:jc w:val="both"/>
      </w:pPr>
      <w:r>
        <w:rPr>
          <w:vertAlign w:val="superscript"/>
        </w:rPr>
        <w:footnoteRef/>
      </w:r>
      <w:r>
        <w:t xml:space="preserve"> Aminuddin, Fajrian. “Systematic Literature Review: Analisis Komparatif Paradigma Studi Islam dan Sejarah Peradaban Islam.” Al-Isnad: Journal of Islamic Civilization History and Humanities 7, no. 1 (2026): 1–16. https://doi.org/10.22515/isnad.v7i01.14110.</w:t>
      </w:r>
    </w:p>
  </w:footnote>
  <w:footnote w:id="2">
    <w:p w14:paraId="00000064" w14:textId="77777777" w:rsidR="00562FD3" w:rsidRDefault="0053268E" w:rsidP="00401D3C">
      <w:pPr>
        <w:spacing w:after="20" w:line="240" w:lineRule="auto"/>
        <w:ind w:left="180" w:hanging="180"/>
        <w:jc w:val="both"/>
      </w:pPr>
      <w:r>
        <w:rPr>
          <w:vertAlign w:val="superscript"/>
        </w:rPr>
        <w:footnoteRef/>
      </w:r>
      <w:r>
        <w:t xml:space="preserve"> Anggy Giri Prawiyog, Arga Adha Anwari, Ajid Hakim, dan Haerudin, “Development of Islamic Historiography in Indonesia,” Jurnal Educatio FKIP UNMA 11, no. 3 (2025), https://doi.org/10.31949/educatio.v11i3.13340.</w:t>
      </w:r>
    </w:p>
  </w:footnote>
  <w:footnote w:id="3">
    <w:p w14:paraId="00000065" w14:textId="77777777" w:rsidR="00562FD3" w:rsidRDefault="0053268E" w:rsidP="00401D3C">
      <w:pPr>
        <w:spacing w:after="20" w:line="240" w:lineRule="auto"/>
        <w:ind w:left="180" w:hanging="180"/>
        <w:jc w:val="both"/>
      </w:pPr>
      <w:r>
        <w:rPr>
          <w:vertAlign w:val="superscript"/>
        </w:rPr>
        <w:footnoteRef/>
      </w:r>
      <w:r>
        <w:t xml:space="preserve"> Qadariyah, Lailatul. “Pendekatan Pendidikan dalam Kajian Islam: Dari Dikotomi menuju Dekolonisasi.” At-Tasyrih 12, no. 1 (2026). https://doi.org/10.55849/attasyrih.v12i1.490.</w:t>
      </w:r>
    </w:p>
  </w:footnote>
  <w:footnote w:id="4">
    <w:p w14:paraId="5591F568" w14:textId="63F7FEEA" w:rsidR="00A41AD7" w:rsidRPr="00A41AD7" w:rsidRDefault="00A41AD7" w:rsidP="00A41AD7">
      <w:pPr>
        <w:pStyle w:val="FootnoteText"/>
      </w:pPr>
      <w:r>
        <w:rPr>
          <w:rStyle w:val="FootnoteReference"/>
        </w:rPr>
        <w:footnoteRef/>
      </w:r>
      <w:r>
        <w:t xml:space="preserve"> </w:t>
      </w:r>
      <w:r w:rsidRPr="00A41AD7">
        <w:t xml:space="preserve">Hasanah, U., &amp; Hartono, H. (2022). TAFAKKUR SEBAGAI KONSEPSI MENUJU KEABADIAN MANUSIA MODERN:(Telaah Tafsir Surah Ali-Imran Ayat 190-191). </w:t>
      </w:r>
      <w:r w:rsidRPr="00A41AD7">
        <w:rPr>
          <w:i/>
          <w:iCs/>
        </w:rPr>
        <w:t>As-Syifa: Journal of Islamic Studies and History</w:t>
      </w:r>
      <w:r w:rsidRPr="00A41AD7">
        <w:t xml:space="preserve">, </w:t>
      </w:r>
      <w:r w:rsidRPr="00A41AD7">
        <w:rPr>
          <w:i/>
          <w:iCs/>
        </w:rPr>
        <w:t>1</w:t>
      </w:r>
      <w:r w:rsidRPr="00A41AD7">
        <w:t>(1), 01-24.</w:t>
      </w:r>
    </w:p>
  </w:footnote>
  <w:footnote w:id="5">
    <w:p w14:paraId="00000066" w14:textId="77777777" w:rsidR="00562FD3" w:rsidRDefault="0053268E" w:rsidP="00401D3C">
      <w:pPr>
        <w:spacing w:after="20" w:line="240" w:lineRule="auto"/>
        <w:ind w:left="180" w:hanging="180"/>
        <w:jc w:val="both"/>
      </w:pPr>
      <w:r>
        <w:rPr>
          <w:vertAlign w:val="superscript"/>
        </w:rPr>
        <w:footnoteRef/>
      </w:r>
      <w:r>
        <w:t xml:space="preserve"> Miftahur Rofi, “Dynamics in Classical Islamic Education: Between Nonformal Autonomy and Madrasah Hegemony (650–1250 CE),” Sunan Kalijaga International Journal on Islamic Educational Research 9, no. 1 (2025): 1–24, https://doi.org/10.14421/skijier.2025.91.01.</w:t>
      </w:r>
    </w:p>
  </w:footnote>
  <w:footnote w:id="6">
    <w:p w14:paraId="00000067" w14:textId="77777777" w:rsidR="00562FD3" w:rsidRDefault="0053268E" w:rsidP="00401D3C">
      <w:pPr>
        <w:spacing w:after="20" w:line="240" w:lineRule="auto"/>
        <w:ind w:left="180" w:hanging="180"/>
        <w:jc w:val="both"/>
      </w:pPr>
      <w:r>
        <w:rPr>
          <w:vertAlign w:val="superscript"/>
        </w:rPr>
        <w:footnoteRef/>
      </w:r>
      <w:r>
        <w:t xml:space="preserve"> Fajrian Aminuddin, “Systematic Literature Review: Analisis Komparatif Paradigma Studi Islam dan Sejarah Peradaban Islam,” Al-Isnad 7, no. 1 (2026): 1–16, https://doi.org/10.22515/isnad.v7i01.14110.</w:t>
      </w:r>
    </w:p>
  </w:footnote>
  <w:footnote w:id="7">
    <w:p w14:paraId="00000068" w14:textId="77777777" w:rsidR="00562FD3" w:rsidRDefault="0053268E" w:rsidP="00401D3C">
      <w:pPr>
        <w:spacing w:after="20" w:line="240" w:lineRule="auto"/>
        <w:ind w:left="180" w:hanging="180"/>
        <w:jc w:val="both"/>
      </w:pPr>
      <w:r>
        <w:rPr>
          <w:vertAlign w:val="superscript"/>
        </w:rPr>
        <w:footnoteRef/>
      </w:r>
      <w:r>
        <w:t xml:space="preserve"> Naufal Hidayatullah dan Mohammad Subhi Ibrahim, “Integration of Critical Reason in Islamic Civilization: A Solution to the Stagnation of Modern Islamic Education,” IJGIE 7, no. 1 (2026), https://doi.org/10.37567/ijgie.v7i1.5102.</w:t>
      </w:r>
    </w:p>
  </w:footnote>
  <w:footnote w:id="8">
    <w:p w14:paraId="00000069" w14:textId="77777777" w:rsidR="00562FD3" w:rsidRDefault="0053268E" w:rsidP="00401D3C">
      <w:pPr>
        <w:spacing w:after="20" w:line="240" w:lineRule="auto"/>
        <w:ind w:left="180" w:hanging="180"/>
        <w:jc w:val="both"/>
      </w:pPr>
      <w:r>
        <w:rPr>
          <w:vertAlign w:val="superscript"/>
        </w:rPr>
        <w:footnoteRef/>
      </w:r>
      <w:r>
        <w:t xml:space="preserve"> Lailatul Qadariyah, “Pendekatan Pendidikan dalam Kajian Islam: Dari Dikotomi menuju Dekolonisasi,” At-Tasyrih 12, no. 1 (2026), https://doi.org/10.55849/attasyrih.v12i1.490.</w:t>
      </w:r>
    </w:p>
  </w:footnote>
  <w:footnote w:id="9">
    <w:p w14:paraId="0000006A" w14:textId="77777777" w:rsidR="00562FD3" w:rsidRDefault="0053268E" w:rsidP="00401D3C">
      <w:pPr>
        <w:spacing w:after="20" w:line="240" w:lineRule="auto"/>
        <w:ind w:left="180" w:hanging="180"/>
        <w:jc w:val="both"/>
      </w:pPr>
      <w:r>
        <w:rPr>
          <w:vertAlign w:val="superscript"/>
        </w:rPr>
        <w:footnoteRef/>
      </w:r>
      <w:r>
        <w:t xml:space="preserve"> Senata Adi Prasetia, “Epistemic Rationality in Islamic Education: The Significance for Religious Moderation in Contemporary Indonesian Islam,” Ulul Albab: Jurnal Studi Islam (2022).</w:t>
      </w:r>
    </w:p>
  </w:footnote>
  <w:footnote w:id="10">
    <w:p w14:paraId="0000006B" w14:textId="77777777" w:rsidR="00562FD3" w:rsidRDefault="0053268E" w:rsidP="00401D3C">
      <w:pPr>
        <w:spacing w:after="20" w:line="240" w:lineRule="auto"/>
        <w:ind w:left="180" w:hanging="180"/>
        <w:jc w:val="both"/>
      </w:pPr>
      <w:r>
        <w:rPr>
          <w:vertAlign w:val="superscript"/>
        </w:rPr>
        <w:footnoteRef/>
      </w:r>
      <w:r>
        <w:t xml:space="preserve"> Moh Nasim, “Peran Pendidikan dalam Membangun Peradaban Islam (Telaah Historis-Epistemologis),” PERSPEKTIF 17, no. 1 (2024).</w:t>
      </w:r>
    </w:p>
  </w:footnote>
  <w:footnote w:id="11">
    <w:p w14:paraId="0000006C" w14:textId="77777777" w:rsidR="00562FD3" w:rsidRDefault="0053268E" w:rsidP="00401D3C">
      <w:pPr>
        <w:spacing w:after="20" w:line="240" w:lineRule="auto"/>
        <w:ind w:left="180" w:hanging="180"/>
        <w:jc w:val="both"/>
      </w:pPr>
      <w:r>
        <w:rPr>
          <w:vertAlign w:val="superscript"/>
        </w:rPr>
        <w:footnoteRef/>
      </w:r>
      <w:r>
        <w:t xml:space="preserve"> Topik Pirdaus dan Uyu Muawanah, “Pendekatan Historis dalam Studi Islam,” JUSMA: Jurnal Studi Islam dan Masyarakat (2024).</w:t>
      </w:r>
    </w:p>
  </w:footnote>
  <w:footnote w:id="12">
    <w:p w14:paraId="0000006D" w14:textId="77777777" w:rsidR="00562FD3" w:rsidRDefault="0053268E" w:rsidP="00401D3C">
      <w:pPr>
        <w:spacing w:after="20" w:line="240" w:lineRule="auto"/>
        <w:ind w:left="180" w:hanging="180"/>
        <w:jc w:val="both"/>
      </w:pPr>
      <w:r>
        <w:rPr>
          <w:vertAlign w:val="superscript"/>
        </w:rPr>
        <w:footnoteRef/>
      </w:r>
      <w:r>
        <w:t xml:space="preserve"> Trias Andika MS, “Pembelajaran Sejarah Peradaban Islam di Perguruan Tinggi: Studi Literatur tentang Metode dan Tantangan,” Jurnal Pendidikan Tambusai 8, no. 2 (2024): 8286–8290, https://doi.org/10.31004/jptam.v8i2.25868.</w:t>
      </w:r>
    </w:p>
  </w:footnote>
  <w:footnote w:id="13">
    <w:p w14:paraId="52CD1276" w14:textId="7DAAB161" w:rsidR="007D11FD" w:rsidRPr="007D11FD" w:rsidRDefault="007D11FD" w:rsidP="007D11FD">
      <w:pPr>
        <w:pStyle w:val="FootnoteText"/>
      </w:pPr>
      <w:r>
        <w:rPr>
          <w:rStyle w:val="FootnoteReference"/>
        </w:rPr>
        <w:footnoteRef/>
      </w:r>
      <w:r>
        <w:t xml:space="preserve"> </w:t>
      </w:r>
      <w:r w:rsidRPr="007D11FD">
        <w:t xml:space="preserve">Hartono, H. (2021). Rekontruksi Penulisan Teks Al-Quran Modern. </w:t>
      </w:r>
      <w:r w:rsidRPr="007D11FD">
        <w:rPr>
          <w:i/>
          <w:iCs/>
        </w:rPr>
        <w:t>Al-Bayan: Jurnal Ilmu al-Qur'an dan Hadist</w:t>
      </w:r>
      <w:r w:rsidRPr="007D11FD">
        <w:t xml:space="preserve">, </w:t>
      </w:r>
      <w:r w:rsidRPr="007D11FD">
        <w:rPr>
          <w:i/>
          <w:iCs/>
        </w:rPr>
        <w:t>4</w:t>
      </w:r>
      <w:r w:rsidRPr="007D11FD">
        <w:t>(2), 232-243.</w:t>
      </w:r>
    </w:p>
  </w:footnote>
  <w:footnote w:id="14">
    <w:p w14:paraId="0000006E" w14:textId="77777777" w:rsidR="00562FD3" w:rsidRDefault="0053268E" w:rsidP="00401D3C">
      <w:pPr>
        <w:spacing w:after="20" w:line="240" w:lineRule="auto"/>
        <w:ind w:left="180" w:hanging="180"/>
        <w:jc w:val="both"/>
      </w:pPr>
      <w:r>
        <w:rPr>
          <w:vertAlign w:val="superscript"/>
        </w:rPr>
        <w:footnoteRef/>
      </w:r>
      <w:r>
        <w:t xml:space="preserve"> M. Al Qautsar Pratama dan Toyibafi Sahri Ramadhan, “Pendidikan Islam Multikultural dan Nilainya dalam Pembelajaran Sejarah Peradaban Islam,” Widya Winayata 10, no. 2 (2022): 96–106, https://doi.org/10.23887/jjps.v10i2.45704.</w:t>
      </w:r>
    </w:p>
  </w:footnote>
  <w:footnote w:id="15">
    <w:p w14:paraId="0000006F" w14:textId="77777777" w:rsidR="00562FD3" w:rsidRDefault="0053268E" w:rsidP="00401D3C">
      <w:pPr>
        <w:spacing w:after="20" w:line="240" w:lineRule="auto"/>
        <w:ind w:left="180" w:hanging="180"/>
        <w:jc w:val="both"/>
      </w:pPr>
      <w:r>
        <w:rPr>
          <w:vertAlign w:val="superscript"/>
        </w:rPr>
        <w:footnoteRef/>
      </w:r>
      <w:r>
        <w:t xml:space="preserve"> Darmalinda dan Fadriati, “Pembelajaran Sejarah Kebudayaan Islam: Analisis Konsepsi, Tujuan, Materi, Strategi, dan Evaluasi Pembelajaran,” Al-Hasanah 9, no. 1 (2024): 92–107, https://doi.org/10.51729/91375.</w:t>
      </w:r>
    </w:p>
  </w:footnote>
  <w:footnote w:id="16">
    <w:p w14:paraId="00000070" w14:textId="77777777" w:rsidR="00562FD3" w:rsidRDefault="0053268E" w:rsidP="00401D3C">
      <w:pPr>
        <w:spacing w:after="20" w:line="240" w:lineRule="auto"/>
        <w:ind w:left="180" w:hanging="180"/>
        <w:jc w:val="both"/>
      </w:pPr>
      <w:r>
        <w:rPr>
          <w:vertAlign w:val="superscript"/>
        </w:rPr>
        <w:footnoteRef/>
      </w:r>
      <w:r>
        <w:t xml:space="preserve"> Miftahur Rofi, “Dynamics in Classical Islamic Education,” Sunan Kalijaga International Journal on Islamic Educational Research 9, no. 1 (2025): 1–24.</w:t>
      </w:r>
    </w:p>
  </w:footnote>
  <w:footnote w:id="17">
    <w:p w14:paraId="00000071" w14:textId="77777777" w:rsidR="00562FD3" w:rsidRDefault="0053268E" w:rsidP="00401D3C">
      <w:pPr>
        <w:spacing w:after="20" w:line="240" w:lineRule="auto"/>
        <w:ind w:left="180" w:hanging="180"/>
        <w:jc w:val="both"/>
      </w:pPr>
      <w:r>
        <w:rPr>
          <w:vertAlign w:val="superscript"/>
        </w:rPr>
        <w:footnoteRef/>
      </w:r>
      <w:r>
        <w:t xml:space="preserve"> R. Adawiyah et al., “Manajemen Pendidikan Karakter Melalui Pembelajaran Gamifikasi Disertai Media Video untuk Meningkatkan Pengetahuan Sejarah Peradaban Islam Siswa,” Borneo Journal of Islamic Education 4, no. 2 (2024): 133–145, https://doi.org/10.21093/bjie.v4i2.9162.</w:t>
      </w:r>
    </w:p>
  </w:footnote>
  <w:footnote w:id="18">
    <w:p w14:paraId="00000072" w14:textId="77777777" w:rsidR="00562FD3" w:rsidRDefault="0053268E" w:rsidP="00401D3C">
      <w:pPr>
        <w:spacing w:after="20" w:line="240" w:lineRule="auto"/>
        <w:ind w:left="180" w:hanging="180"/>
        <w:jc w:val="both"/>
      </w:pPr>
      <w:r>
        <w:rPr>
          <w:vertAlign w:val="superscript"/>
        </w:rPr>
        <w:footnoteRef/>
      </w:r>
      <w:r>
        <w:t xml:space="preserve"> Nabila Yasmin dan M. Nasihudin Ali, “Islamic Historiography in North Sumatera: Analysis of Trends in Thesis Writing Themes at the History of Islamic Civilization Study Program 2020–2022,” JUSPI 6, no. 2 (2023).</w:t>
      </w:r>
    </w:p>
  </w:footnote>
  <w:footnote w:id="19">
    <w:p w14:paraId="00000073" w14:textId="77777777" w:rsidR="00562FD3" w:rsidRDefault="0053268E" w:rsidP="00401D3C">
      <w:pPr>
        <w:spacing w:after="20" w:line="240" w:lineRule="auto"/>
        <w:ind w:left="180" w:hanging="180"/>
        <w:jc w:val="both"/>
      </w:pPr>
      <w:r>
        <w:rPr>
          <w:vertAlign w:val="superscript"/>
        </w:rPr>
        <w:footnoteRef/>
      </w:r>
      <w:r>
        <w:t xml:space="preserve"> Khusnul Khotimah Lestari et al., “Penerapan Pembelajaran Sejarah Kebudayaan Islam pada Kurikulum Merdeka di MI Muhammadiyah 2 Kabupaten Sorong,” MIDA 8, no. 2 (2025): 200–212, https://doi.org/10.52166/mida.v8i2.10328.</w:t>
      </w:r>
    </w:p>
  </w:footnote>
  <w:footnote w:id="20">
    <w:p w14:paraId="00000074" w14:textId="77777777" w:rsidR="00562FD3" w:rsidRDefault="0053268E" w:rsidP="00401D3C">
      <w:pPr>
        <w:spacing w:after="20" w:line="240" w:lineRule="auto"/>
        <w:ind w:left="180" w:hanging="180"/>
        <w:jc w:val="both"/>
      </w:pPr>
      <w:r>
        <w:rPr>
          <w:vertAlign w:val="superscript"/>
        </w:rPr>
        <w:footnoteRef/>
      </w:r>
      <w:r>
        <w:t xml:space="preserve"> Moh Nasim, “Peran Pendidikan dalam Membangun Peradaban Islam (Telaah Historis-Epistemologis),” PERSPEKTIF 17, no. 1 (2024).</w:t>
      </w:r>
    </w:p>
  </w:footnote>
  <w:footnote w:id="21">
    <w:p w14:paraId="00000075" w14:textId="77777777" w:rsidR="00562FD3" w:rsidRDefault="0053268E" w:rsidP="00401D3C">
      <w:pPr>
        <w:spacing w:after="20" w:line="240" w:lineRule="auto"/>
        <w:ind w:left="180" w:hanging="180"/>
        <w:jc w:val="both"/>
      </w:pPr>
      <w:r>
        <w:rPr>
          <w:vertAlign w:val="superscript"/>
        </w:rPr>
        <w:footnoteRef/>
      </w:r>
      <w:r>
        <w:t xml:space="preserve"> Fajrian Aminuddin, “Analisis Komparatif Paradigma Studi Islam dan Sejarah Peradaban Islam,” Al-Isnad 7, no. 1 (2026): 1–16.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14C8C" w14:textId="6F737D08" w:rsidR="002D5FF6" w:rsidRPr="0008771B" w:rsidRDefault="002D5FF6" w:rsidP="0008771B">
    <w:pPr>
      <w:pStyle w:val="Header"/>
      <w:rPr>
        <w:sz w:val="18"/>
        <w:szCs w:val="18"/>
      </w:rPr>
    </w:pPr>
    <w:r w:rsidRPr="0008771B">
      <w:rPr>
        <w:sz w:val="20"/>
        <w:szCs w:val="20"/>
      </w:rPr>
      <w:t xml:space="preserve">As-Syifa: Journal of Islamic Studies and History         Volume </w:t>
    </w:r>
    <w:r w:rsidR="0008771B">
      <w:rPr>
        <w:sz w:val="20"/>
        <w:szCs w:val="20"/>
      </w:rPr>
      <w:t>5</w:t>
    </w:r>
    <w:r w:rsidRPr="0008771B">
      <w:rPr>
        <w:sz w:val="20"/>
        <w:szCs w:val="20"/>
      </w:rPr>
      <w:t>, No.2. Juni 2026       e-ISSN: 2963-9395</w:t>
    </w:r>
    <w:r w:rsidRPr="0008771B">
      <w:rPr>
        <w:sz w:val="18"/>
        <w:szCs w:val="18"/>
      </w:rPr>
      <w:tab/>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F101C"/>
    <w:multiLevelType w:val="hybridMultilevel"/>
    <w:tmpl w:val="F70AC5DE"/>
    <w:lvl w:ilvl="0" w:tplc="814E2D6C">
      <w:start w:val="1"/>
      <w:numFmt w:val="decimal"/>
      <w:lvlText w:val="%1."/>
      <w:lvlJc w:val="left"/>
      <w:pPr>
        <w:ind w:left="720" w:hanging="360"/>
      </w:pPr>
      <w:rPr>
        <w:rFonts w:hint="default"/>
        <w:b/>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FD3"/>
    <w:rsid w:val="0008771B"/>
    <w:rsid w:val="000A35A6"/>
    <w:rsid w:val="000B1F81"/>
    <w:rsid w:val="0011117B"/>
    <w:rsid w:val="00136193"/>
    <w:rsid w:val="00191E06"/>
    <w:rsid w:val="001D7C19"/>
    <w:rsid w:val="002D5FF6"/>
    <w:rsid w:val="003413FF"/>
    <w:rsid w:val="00391D4E"/>
    <w:rsid w:val="00401D3C"/>
    <w:rsid w:val="0052057B"/>
    <w:rsid w:val="0053268E"/>
    <w:rsid w:val="00562FD3"/>
    <w:rsid w:val="005648A2"/>
    <w:rsid w:val="005677E8"/>
    <w:rsid w:val="006859B1"/>
    <w:rsid w:val="007722B7"/>
    <w:rsid w:val="007A23B7"/>
    <w:rsid w:val="007A3EF4"/>
    <w:rsid w:val="007D11FD"/>
    <w:rsid w:val="007F1901"/>
    <w:rsid w:val="00817ED2"/>
    <w:rsid w:val="008C2C71"/>
    <w:rsid w:val="00A27562"/>
    <w:rsid w:val="00A41AD7"/>
    <w:rsid w:val="00B03EA4"/>
    <w:rsid w:val="00B577F7"/>
    <w:rsid w:val="00C11076"/>
    <w:rsid w:val="00D758B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BE530"/>
  <w15:docId w15:val="{6C758F44-B484-46F7-93F7-3E0F82F57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ID" w:bidi="ar-SA"/>
      </w:rPr>
    </w:rPrDefault>
    <w:pPrDefault>
      <w:pPr>
        <w:spacing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color w:val="17365D"/>
      <w:sz w:val="52"/>
      <w:szCs w:val="52"/>
    </w:rPr>
  </w:style>
  <w:style w:type="paragraph" w:styleId="Subtitle">
    <w:name w:val="Subtitle"/>
    <w:basedOn w:val="Normal"/>
    <w:next w:val="Normal"/>
    <w:uiPriority w:val="11"/>
    <w:qFormat/>
    <w:rPr>
      <w:rFonts w:ascii="Calibri" w:eastAsia="Calibri" w:hAnsi="Calibri" w:cs="Calibri"/>
      <w:i/>
      <w:iCs/>
      <w:color w:val="4F81BD"/>
      <w:sz w:val="24"/>
      <w:szCs w:val="24"/>
    </w:rPr>
  </w:style>
  <w:style w:type="paragraph" w:styleId="Header">
    <w:name w:val="header"/>
    <w:basedOn w:val="Normal"/>
    <w:link w:val="HeaderChar"/>
    <w:uiPriority w:val="99"/>
    <w:unhideWhenUsed/>
    <w:rsid w:val="002D5F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5FF6"/>
  </w:style>
  <w:style w:type="paragraph" w:styleId="Footer">
    <w:name w:val="footer"/>
    <w:basedOn w:val="Normal"/>
    <w:link w:val="FooterChar"/>
    <w:uiPriority w:val="99"/>
    <w:unhideWhenUsed/>
    <w:rsid w:val="002D5F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5FF6"/>
  </w:style>
  <w:style w:type="character" w:styleId="Hyperlink">
    <w:name w:val="Hyperlink"/>
    <w:basedOn w:val="DefaultParagraphFont"/>
    <w:uiPriority w:val="99"/>
    <w:unhideWhenUsed/>
    <w:rsid w:val="002D5FF6"/>
    <w:rPr>
      <w:color w:val="0000FF" w:themeColor="hyperlink"/>
      <w:u w:val="single"/>
    </w:rPr>
  </w:style>
  <w:style w:type="character" w:styleId="UnresolvedMention">
    <w:name w:val="Unresolved Mention"/>
    <w:basedOn w:val="DefaultParagraphFont"/>
    <w:uiPriority w:val="99"/>
    <w:semiHidden/>
    <w:unhideWhenUsed/>
    <w:rsid w:val="002D5FF6"/>
    <w:rPr>
      <w:color w:val="605E5C"/>
      <w:shd w:val="clear" w:color="auto" w:fill="E1DFDD"/>
    </w:rPr>
  </w:style>
  <w:style w:type="paragraph" w:styleId="ListParagraph">
    <w:name w:val="List Paragraph"/>
    <w:basedOn w:val="Normal"/>
    <w:uiPriority w:val="34"/>
    <w:qFormat/>
    <w:rsid w:val="00B577F7"/>
    <w:pPr>
      <w:ind w:left="720"/>
      <w:contextualSpacing/>
    </w:pPr>
  </w:style>
  <w:style w:type="paragraph" w:styleId="FootnoteText">
    <w:name w:val="footnote text"/>
    <w:basedOn w:val="Normal"/>
    <w:link w:val="FootnoteTextChar"/>
    <w:uiPriority w:val="99"/>
    <w:semiHidden/>
    <w:unhideWhenUsed/>
    <w:rsid w:val="007D11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11FD"/>
    <w:rPr>
      <w:sz w:val="20"/>
      <w:szCs w:val="20"/>
    </w:rPr>
  </w:style>
  <w:style w:type="character" w:styleId="FootnoteReference">
    <w:name w:val="footnote reference"/>
    <w:basedOn w:val="DefaultParagraphFont"/>
    <w:uiPriority w:val="99"/>
    <w:semiHidden/>
    <w:unhideWhenUsed/>
    <w:rsid w:val="007D11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dipoday@gmail.com" TargetMode="External"/><Relationship Id="rId13" Type="http://schemas.openxmlformats.org/officeDocument/2006/relationships/hyperlink" Target="https://doi.org/10.51729/91375" TargetMode="External"/><Relationship Id="rId18" Type="http://schemas.openxmlformats.org/officeDocument/2006/relationships/hyperlink" Target="https://doi.org/10.23887/jurnal_tp.v15i2.6038" TargetMode="External"/><Relationship Id="rId3" Type="http://schemas.openxmlformats.org/officeDocument/2006/relationships/styles" Target="styles.xml"/><Relationship Id="rId21" Type="http://schemas.openxmlformats.org/officeDocument/2006/relationships/hyperlink" Target="https://doi.org/10.58791/drs.v27i01.882" TargetMode="External"/><Relationship Id="rId7" Type="http://schemas.openxmlformats.org/officeDocument/2006/relationships/endnotes" Target="endnotes.xml"/><Relationship Id="rId12" Type="http://schemas.openxmlformats.org/officeDocument/2006/relationships/hyperlink" Target="https://doi.org/10.31004/jptam.v8i2.25868" TargetMode="External"/><Relationship Id="rId17" Type="http://schemas.openxmlformats.org/officeDocument/2006/relationships/hyperlink" Target="https://doi.org/10.31949/educatio.v11i3.13340" TargetMode="External"/><Relationship Id="rId2" Type="http://schemas.openxmlformats.org/officeDocument/2006/relationships/numbering" Target="numbering.xml"/><Relationship Id="rId16" Type="http://schemas.openxmlformats.org/officeDocument/2006/relationships/hyperlink" Target="https://doi.org/10.52166/mida.v8i2.10328" TargetMode="External"/><Relationship Id="rId20" Type="http://schemas.openxmlformats.org/officeDocument/2006/relationships/hyperlink" Target="https://doi.org/10.37567/ijgie.v7i1.5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56127/jukim.v2i03.73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4421/skijier.2025.91.01" TargetMode="External"/><Relationship Id="rId23" Type="http://schemas.openxmlformats.org/officeDocument/2006/relationships/fontTable" Target="fontTable.xml"/><Relationship Id="rId10" Type="http://schemas.openxmlformats.org/officeDocument/2006/relationships/hyperlink" Target="https://doi.org/10.23887/jjps.v10i2.45704" TargetMode="External"/><Relationship Id="rId19" Type="http://schemas.openxmlformats.org/officeDocument/2006/relationships/hyperlink" Target="https://doi.org/10.55849/attasyrih.v12i1.490" TargetMode="External"/><Relationship Id="rId4" Type="http://schemas.openxmlformats.org/officeDocument/2006/relationships/settings" Target="settings.xml"/><Relationship Id="rId9" Type="http://schemas.openxmlformats.org/officeDocument/2006/relationships/hyperlink" Target="https://doi.org/10.22515/isnad.v7i01.14110" TargetMode="External"/><Relationship Id="rId14" Type="http://schemas.openxmlformats.org/officeDocument/2006/relationships/hyperlink" Target="https://doi.org/10.21093/bjie.v4i2.9162"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5B0FB-4A28-41F1-9EF2-E7C11B383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15</Pages>
  <Words>4270</Words>
  <Characters>24340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My Computer</cp:lastModifiedBy>
  <cp:revision>25</cp:revision>
  <dcterms:created xsi:type="dcterms:W3CDTF">2026-09-13T13:39:00Z</dcterms:created>
  <dcterms:modified xsi:type="dcterms:W3CDTF">2026-10-01T07:34:00Z</dcterms:modified>
</cp:coreProperties>
</file>